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74" w:rsidRPr="0073738F" w:rsidRDefault="0073738F">
      <w:pPr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73738F">
        <w:rPr>
          <w:rFonts w:ascii="Times New Roman" w:eastAsia="Open Sans" w:hAnsi="Times New Roman" w:cs="Times New Roman"/>
          <w:b/>
          <w:color w:val="444444"/>
          <w:sz w:val="24"/>
          <w:szCs w:val="24"/>
        </w:rPr>
        <w:t>Berényi Noémi: Társadalmi Igazságosság a Szabadság Szempontjából</w:t>
      </w:r>
    </w:p>
    <w:p w:rsidR="00A84874" w:rsidRPr="0073738F" w:rsidRDefault="00A84874">
      <w:pPr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tbl>
      <w:tblPr>
        <w:tblStyle w:val="a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80"/>
        <w:gridCol w:w="5385"/>
      </w:tblGrid>
      <w:tr w:rsidR="00A84874" w:rsidRPr="0073738F">
        <w:trPr>
          <w:cantSplit/>
          <w:trHeight w:val="515"/>
          <w:tblHeader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Az óra témája: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Társadalmi Igazságosság a Szabadság Szempontjából</w:t>
            </w:r>
          </w:p>
        </w:tc>
      </w:tr>
      <w:tr w:rsidR="00A84874" w:rsidRPr="0073738F">
        <w:trPr>
          <w:cantSplit/>
          <w:trHeight w:val="515"/>
          <w:tblHeader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Az óra célja: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Ennek az órának a célja, hogy a társadalmi igazságosságról való fogalmunkat elkezdjük megalapozni, az emberi szabadság témáját és sokrétegűségét választva központi elemnek.</w:t>
            </w:r>
          </w:p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(Bővebb információ az óra részletes céljairól, a „Célkitűzések” címszó alatt talál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ható).</w:t>
            </w:r>
          </w:p>
        </w:tc>
      </w:tr>
      <w:tr w:rsidR="00A84874" w:rsidRPr="0073738F">
        <w:trPr>
          <w:cantSplit/>
          <w:trHeight w:val="1115"/>
          <w:tblHeader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Az Emberi Jogok Egyetemes Nyilatkozatának ezen pontjait érinti az óraterv: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Az óra során bevezetendő gyakorlatok direkt és indirekt módon a 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gondolat szabadságát, és a vélemény-nyilvánítás szabadságát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,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mint Emberi Jogokat fogják körbejárni, azokra alapozni.</w:t>
            </w:r>
          </w:p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„18. cikk Minden személynek joga van a </w:t>
            </w:r>
            <w:r w:rsidRPr="0073738F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gondolat,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a lelkiismeret és a vallás szabadságához, ez a jog magában foglalja a vallás és a meggyőződés megváltoztatásának szabadságát, valamint a vallásnak va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gy a meggyőződésnek mind egyénileg, mind együttesen, mind a nyilvánosság előtt, mind a magánéletben oktatás, gyakorlás és szertartások végzése útján való kifejezésre juttatásának jogát. </w:t>
            </w:r>
          </w:p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19. cikk Minden személynek joga van </w:t>
            </w:r>
            <w:r w:rsidRPr="0073738F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a vélemény és a kifejezés szabads</w:t>
            </w:r>
            <w:r w:rsidRPr="0073738F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ágához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, amely magában foglalja azt a jogot, hogy véleménye miatt ne szenvedjen zaklatást és hogy határokra való tekintet nélkül kutathasson, átvihessen és terjeszthessen híreket és eszméket bármilyen kifejezési módon.”</w:t>
            </w:r>
            <w:r w:rsidRPr="0073738F">
              <w:rPr>
                <w:rFonts w:ascii="Times New Roman" w:eastAsia="Book Antiqua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A84874" w:rsidRPr="0073738F">
        <w:trPr>
          <w:cantSplit/>
          <w:trHeight w:val="515"/>
          <w:tblHeader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Az óra hossza: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90 perc</w:t>
            </w:r>
          </w:p>
        </w:tc>
      </w:tr>
      <w:tr w:rsidR="00A84874" w:rsidRPr="0073738F">
        <w:trPr>
          <w:cantSplit/>
          <w:trHeight w:val="515"/>
          <w:tblHeader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Célzott korosztály: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16+ fiatalok és fiatal felnőttek (30 éves korhatár, ha esti tagozatú felnőtt gimnáziumról van szó)</w:t>
            </w:r>
          </w:p>
        </w:tc>
      </w:tr>
      <w:tr w:rsidR="00A84874" w:rsidRPr="0073738F">
        <w:trPr>
          <w:cantSplit/>
          <w:trHeight w:val="515"/>
          <w:tblHeader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Az óra kidolgozójának neve: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Berényi Noémi</w:t>
            </w:r>
          </w:p>
        </w:tc>
      </w:tr>
      <w:tr w:rsidR="00A84874" w:rsidRPr="0073738F">
        <w:trPr>
          <w:cantSplit/>
          <w:trHeight w:val="815"/>
          <w:tblHeader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Milyen tanórára javasolt az óra: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874" w:rsidRPr="0073738F" w:rsidRDefault="00A556A5">
            <w:pPr>
              <w:spacing w:before="24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Történelem, Társadalmi és állampolgári ismeretek, vagy Id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egen nyelvek</w:t>
            </w:r>
          </w:p>
        </w:tc>
      </w:tr>
    </w:tbl>
    <w:p w:rsidR="00A84874" w:rsidRPr="0073738F" w:rsidRDefault="00A556A5">
      <w:pPr>
        <w:spacing w:before="240" w:after="240"/>
        <w:jc w:val="both"/>
        <w:rPr>
          <w:rFonts w:ascii="Times New Roman" w:eastAsia="Open Sans" w:hAnsi="Times New Roman" w:cs="Times New Roman"/>
          <w:color w:val="444444"/>
          <w:sz w:val="24"/>
          <w:szCs w:val="24"/>
          <w:highlight w:val="white"/>
        </w:rPr>
      </w:pPr>
      <w:r w:rsidRPr="0073738F">
        <w:rPr>
          <w:rFonts w:ascii="Times New Roman" w:eastAsia="Book Antiqua" w:hAnsi="Times New Roman" w:cs="Times New Roman"/>
          <w:sz w:val="24"/>
          <w:szCs w:val="24"/>
        </w:rPr>
        <w:t xml:space="preserve">Hozzá szeretném tenni ehhez az óratervhez, hogy ezt iskolai tantárgyak tanításán kívül, akár ifjúsági otthonokban, non-formális oktatási célú esemény során is lehet alkalmazni, mint foglalkozást. Úgy képzelem, hogy ezt az óratervet egy 10 napos, szociális </w:t>
      </w:r>
      <w:r w:rsidRPr="0073738F">
        <w:rPr>
          <w:rFonts w:ascii="Times New Roman" w:eastAsia="Book Antiqua" w:hAnsi="Times New Roman" w:cs="Times New Roman"/>
          <w:sz w:val="24"/>
          <w:szCs w:val="24"/>
        </w:rPr>
        <w:t>igazságosság témakörre épülő, művészeti elemekkel dolgozó ifjúsági képzőtáborban is kipróbálnám nemzetközi résztvevőkkel, maximum 30-as létszámmal, ha lehetőségem adódik rá, 2023 májusában. Ez az óraterv/ foglalkozásterv ily módon lényegében egy foglalkozá</w:t>
      </w:r>
      <w:r w:rsidRPr="0073738F">
        <w:rPr>
          <w:rFonts w:ascii="Times New Roman" w:eastAsia="Book Antiqua" w:hAnsi="Times New Roman" w:cs="Times New Roman"/>
          <w:sz w:val="24"/>
          <w:szCs w:val="24"/>
        </w:rPr>
        <w:t>s sorozatnak lenne a része, ami egy zenei-dráma előadás elméleti és gyakorlati felkészülését alapozná meg. Azért ezt az alábbi sablont használom, mert általában ehhez hasonlóval szoktam órákra felkészülni.</w:t>
      </w:r>
    </w:p>
    <w:p w:rsidR="00A84874" w:rsidRPr="0073738F" w:rsidRDefault="00A8487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2"/>
        <w:tblW w:w="9132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897"/>
      </w:tblGrid>
      <w:tr w:rsidR="00A84874" w:rsidRPr="0073738F">
        <w:trPr>
          <w:cantSplit/>
          <w:trHeight w:val="417"/>
          <w:tblHeader/>
        </w:trPr>
        <w:tc>
          <w:tcPr>
            <w:tcW w:w="2235" w:type="dxa"/>
            <w:shd w:val="clear" w:color="auto" w:fill="DBEEF3"/>
          </w:tcPr>
          <w:p w:rsidR="00A84874" w:rsidRPr="0073738F" w:rsidRDefault="00A556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Cím/ Téma:</w:t>
            </w:r>
          </w:p>
        </w:tc>
        <w:tc>
          <w:tcPr>
            <w:tcW w:w="6897" w:type="dxa"/>
          </w:tcPr>
          <w:p w:rsidR="00A84874" w:rsidRPr="0073738F" w:rsidRDefault="00A556A5">
            <w:pPr>
              <w:widowControl w:val="0"/>
              <w:spacing w:line="240" w:lineRule="auto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Társadalmi Igazságosság a Szabadság Sz</w:t>
            </w:r>
            <w:r w:rsidRPr="0073738F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empontjából</w:t>
            </w:r>
          </w:p>
        </w:tc>
      </w:tr>
      <w:tr w:rsidR="00A84874" w:rsidRPr="0073738F">
        <w:trPr>
          <w:cantSplit/>
          <w:trHeight w:val="423"/>
          <w:tblHeader/>
        </w:trPr>
        <w:tc>
          <w:tcPr>
            <w:tcW w:w="2235" w:type="dxa"/>
            <w:shd w:val="clear" w:color="auto" w:fill="DBEEF3"/>
          </w:tcPr>
          <w:p w:rsidR="00A84874" w:rsidRPr="0073738F" w:rsidRDefault="00A556A5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Leírás:</w:t>
            </w:r>
          </w:p>
        </w:tc>
        <w:tc>
          <w:tcPr>
            <w:tcW w:w="6897" w:type="dxa"/>
          </w:tcPr>
          <w:p w:rsidR="00A84874" w:rsidRPr="0073738F" w:rsidRDefault="00A556A5">
            <w:pPr>
              <w:widowControl w:val="0"/>
              <w:spacing w:before="240" w:line="36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Ennek az órának a célja, hogy a társadalmi igazságosságról való fogalmunkat megalapozzuk, az emberi szabadság témáját és sokrétegűségét választva központi elemnek.</w:t>
            </w:r>
          </w:p>
        </w:tc>
      </w:tr>
      <w:tr w:rsidR="00A84874" w:rsidRPr="0073738F">
        <w:trPr>
          <w:cantSplit/>
          <w:trHeight w:val="401"/>
          <w:tblHeader/>
        </w:trPr>
        <w:tc>
          <w:tcPr>
            <w:tcW w:w="2235" w:type="dxa"/>
            <w:shd w:val="clear" w:color="auto" w:fill="DBEEF3"/>
          </w:tcPr>
          <w:p w:rsidR="00A84874" w:rsidRPr="0073738F" w:rsidRDefault="00A556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Időkeret:</w:t>
            </w:r>
          </w:p>
        </w:tc>
        <w:tc>
          <w:tcPr>
            <w:tcW w:w="6897" w:type="dxa"/>
          </w:tcPr>
          <w:p w:rsidR="00A84874" w:rsidRPr="0073738F" w:rsidRDefault="00A556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perc </w:t>
            </w:r>
          </w:p>
        </w:tc>
      </w:tr>
    </w:tbl>
    <w:p w:rsidR="00A84874" w:rsidRPr="0073738F" w:rsidRDefault="00A8487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7"/>
      </w:tblGrid>
      <w:tr w:rsidR="00A84874" w:rsidRPr="0073738F">
        <w:trPr>
          <w:cantSplit/>
          <w:tblHeader/>
        </w:trPr>
        <w:tc>
          <w:tcPr>
            <w:tcW w:w="9067" w:type="dxa"/>
            <w:shd w:val="clear" w:color="auto" w:fill="DBEEF3"/>
          </w:tcPr>
          <w:p w:rsidR="00A84874" w:rsidRPr="0073738F" w:rsidRDefault="00A55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Bevezető</w:t>
            </w:r>
          </w:p>
        </w:tc>
      </w:tr>
      <w:tr w:rsidR="00A84874" w:rsidRPr="0073738F">
        <w:trPr>
          <w:cantSplit/>
          <w:trHeight w:val="1767"/>
          <w:tblHeader/>
        </w:trPr>
        <w:tc>
          <w:tcPr>
            <w:tcW w:w="9067" w:type="dxa"/>
          </w:tcPr>
          <w:p w:rsidR="00A84874" w:rsidRPr="0073738F" w:rsidRDefault="00A556A5">
            <w:pPr>
              <w:widowControl w:val="0"/>
              <w:spacing w:before="240" w:line="360" w:lineRule="auto"/>
              <w:ind w:right="175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Mi az, hogy szabadság? A szabadságnak milyen „összetevői” vannak? Szerinted milyen mértékig kéne, hogy egy személy a szabadságát gyakorolni tudja? Olyan egyszerű dolgoktól fogva, mint az, hogy évi hányszor kell megjelenj az iskolában (bizonyos életkor alat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t), olyan komplex élményekig nyúlva, minthogy például milyen vallású/ nemi identitású személlyel házasodik össze valaki, a jogi törvények és szabályok próbálják meghúzni az egyéni szabadság határát, hogy a társadalom bizonyos alapelvek révén közösségben tu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djon élni. Ezt ideálisan olyan módon teszik, hogy az együttélés biztonságos és mindenki számára könnyen értelmezhető legyen. Hogy mi a szerepe a törvényeknek, azt egyszerűen talán a következő kérdésről való elmélkedés segítségével lehetne helyesen megválas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zolni: - Mi történik egy olyan konfliktusban, ahol egy személy szabadsága gátol egy másik személyt az ő „szabadságának gyakorlásában”?</w:t>
            </w:r>
          </w:p>
          <w:p w:rsidR="00A84874" w:rsidRPr="0073738F" w:rsidRDefault="00A556A5">
            <w:pPr>
              <w:widowControl w:val="0"/>
              <w:spacing w:before="240" w:line="360" w:lineRule="auto"/>
              <w:ind w:right="175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Tehát, mit jelent az, hogy emberi szabadságunkat gyakorolhatjuk? Akár gondolunk itt:</w:t>
            </w:r>
          </w:p>
          <w:p w:rsidR="00A84874" w:rsidRPr="0073738F" w:rsidRDefault="00A556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right="175" w:firstLine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 gondolat,</w:t>
            </w:r>
          </w:p>
          <w:p w:rsidR="00A84874" w:rsidRPr="0073738F" w:rsidRDefault="00A556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5" w:firstLine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 vélemény,</w:t>
            </w:r>
          </w:p>
          <w:p w:rsidR="00A84874" w:rsidRPr="0073738F" w:rsidRDefault="00A556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5" w:firstLine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az önkifejezés,</w:t>
            </w:r>
          </w:p>
          <w:p w:rsidR="00A84874" w:rsidRPr="0073738F" w:rsidRDefault="00A556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5" w:firstLine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 vallás,</w:t>
            </w:r>
          </w:p>
          <w:p w:rsidR="00A84874" w:rsidRPr="0073738F" w:rsidRDefault="00A556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5" w:firstLine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 biztonság/ menedék, vagy</w:t>
            </w:r>
          </w:p>
          <w:p w:rsidR="00A84874" w:rsidRPr="0073738F" w:rsidRDefault="00A556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5" w:firstLine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a sztrájkoláshoz való szabadságra, ezek önmagukban lehet megfoghatatlannak tűnnek, amíg ezek hétköznapi vonatkozásait ki nem bogozzuk. </w:t>
            </w:r>
          </w:p>
          <w:p w:rsidR="00A84874" w:rsidRPr="0073738F" w:rsidRDefault="00A556A5">
            <w:pPr>
              <w:widowControl w:val="0"/>
              <w:spacing w:before="240" w:line="360" w:lineRule="auto"/>
              <w:ind w:right="175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Ennek az órának a keretein belül lehetősége lesz a diákoknak a tört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énetmesélés drámai eszközét gyakorolni. Egy közös karakterépítés folyamatában el tudják képzelni és reflektálni tudnak azokról a mindennapi tevékenységekről, amik részét képezik az emberi életnek és amik adott szintű személyes, vagy közszabadság nélkül el 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lennének nyomva, vagy csak megszűrt formában jelenhetnének meg.</w:t>
            </w:r>
          </w:p>
          <w:p w:rsidR="00A84874" w:rsidRPr="0073738F" w:rsidRDefault="00A556A5">
            <w:pPr>
              <w:widowControl w:val="0"/>
              <w:spacing w:before="240" w:line="360" w:lineRule="auto"/>
              <w:ind w:right="175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Ilyen például a szólásszabadság, az, hogy egy egyszerű személy közzé teheti saját véleményét, látásmódját. A fogalom definíciójához bevezetésként, ha az interneten keresgél valaki, ezt találná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:</w:t>
            </w:r>
          </w:p>
          <w:p w:rsidR="00A84874" w:rsidRPr="0073738F" w:rsidRDefault="00A556A5">
            <w:pPr>
              <w:widowControl w:val="0"/>
              <w:spacing w:before="240" w:line="360" w:lineRule="auto"/>
              <w:ind w:right="175"/>
              <w:jc w:val="both"/>
              <w:rPr>
                <w:rFonts w:ascii="Times New Roman" w:eastAsia="Book Antiqu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„</w:t>
            </w:r>
            <w:r w:rsidRPr="0073738F">
              <w:rPr>
                <w:rFonts w:ascii="Times New Roman" w:eastAsia="Book Antiqua" w:hAnsi="Times New Roman" w:cs="Times New Roman"/>
                <w:color w:val="222222"/>
                <w:sz w:val="24"/>
                <w:szCs w:val="24"/>
                <w:highlight w:val="white"/>
              </w:rPr>
              <w:t>Szólásszabadság</w:t>
            </w:r>
            <w:r w:rsidRPr="0073738F">
              <w:rPr>
                <w:rFonts w:ascii="Times New Roman" w:eastAsia="Book Antiqua" w:hAnsi="Times New Roman" w:cs="Times New Roman"/>
                <w:color w:val="222222"/>
                <w:sz w:val="24"/>
                <w:szCs w:val="24"/>
                <w:highlight w:val="white"/>
              </w:rPr>
              <w:t>: Olyan jog, ami az illető egyén anyagi állapotával egyenesen arányos. Amennyiben bérből és fizetésből élő személyről van szó, megszólalása egybe kell, hogy essék a munkaadó véleményével, hiszen elvesztheti állását. A vállalkozó véleménye</w:t>
            </w:r>
            <w:r w:rsidRPr="0073738F">
              <w:rPr>
                <w:rFonts w:ascii="Times New Roman" w:eastAsia="Book Antiqua" w:hAnsi="Times New Roman" w:cs="Times New Roman"/>
                <w:color w:val="222222"/>
                <w:sz w:val="24"/>
                <w:szCs w:val="24"/>
                <w:highlight w:val="white"/>
              </w:rPr>
              <w:t xml:space="preserve"> befolyásolja azt, hogy kap-e megbízást. Amennyiben az illetőnek nincs bevétele, azt mond, amit akar, úgyis cselekvőképtelen.” (1)</w:t>
            </w:r>
          </w:p>
          <w:p w:rsidR="00A84874" w:rsidRPr="0073738F" w:rsidRDefault="00A556A5">
            <w:pPr>
              <w:widowControl w:val="0"/>
              <w:spacing w:before="240" w:line="360" w:lineRule="auto"/>
              <w:ind w:right="175"/>
              <w:jc w:val="both"/>
              <w:rPr>
                <w:rFonts w:ascii="Times New Roman" w:eastAsia="Book Antiqua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73738F">
              <w:rPr>
                <w:rFonts w:ascii="Times New Roman" w:eastAsia="Book Antiqua" w:hAnsi="Times New Roman" w:cs="Times New Roman"/>
                <w:color w:val="222222"/>
                <w:sz w:val="24"/>
                <w:szCs w:val="24"/>
                <w:highlight w:val="white"/>
              </w:rPr>
              <w:t>Vagy pedig az ENSZ által 1948 decemberében elfogadott Emberi Jogok Egyetemes Nyilatkozata szerintit definícióval értenél egyet inkább: „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Minden személynek joga van </w:t>
            </w:r>
            <w:r w:rsidRPr="0073738F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a vélemény és a kifejezés szabadságához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, amely magában foglalja azt a jogot, hogy véleménye m</w:t>
            </w:r>
            <w:r w:rsidRPr="0073738F">
              <w:rPr>
                <w:rFonts w:ascii="Times New Roman" w:eastAsia="Book Antiqua" w:hAnsi="Times New Roman" w:cs="Times New Roman"/>
                <w:sz w:val="24"/>
                <w:szCs w:val="24"/>
              </w:rPr>
              <w:t>iatt ne szenvedjen zaklatást és hogy határokra való tekintet nélkül kutathasson, átvihessen és terjeszthessen híreket és eszméket bármilyen kifejezési módon”. (2) A választást és az ehhez kapcsolódó kérdések megvitatását, Rátok hagyjuk.</w:t>
            </w:r>
          </w:p>
          <w:p w:rsidR="00A84874" w:rsidRPr="0073738F" w:rsidRDefault="00A8487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right="175" w:firstLine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hyperlink r:id="rId8">
              <w:r w:rsidR="00A556A5" w:rsidRPr="0073738F">
                <w:rPr>
                  <w:rFonts w:ascii="Times New Roman" w:eastAsia="Book Antiqua" w:hAnsi="Times New Roman" w:cs="Times New Roman"/>
                  <w:color w:val="0000FF"/>
                  <w:sz w:val="24"/>
                  <w:szCs w:val="24"/>
                  <w:u w:val="single"/>
                </w:rPr>
                <w:t>Szótár a Mához (2. rész) | Orientalista.hu</w:t>
              </w:r>
            </w:hyperlink>
            <w:r w:rsidR="00A556A5"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4874" w:rsidRPr="0073738F" w:rsidRDefault="00A556A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5" w:firstLine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Az Emberi Jogok Egyetemes Nyilatkozata, forrás: </w:t>
            </w:r>
            <w:hyperlink r:id="rId9">
              <w:r w:rsidRPr="0073738F">
                <w:rPr>
                  <w:rFonts w:ascii="Times New Roman" w:eastAsia="Book Antiqua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Pr="0073738F">
                <w:rPr>
                  <w:rFonts w:ascii="Times New Roman" w:eastAsia="Book Antiqua" w:hAnsi="Times New Roman" w:cs="Times New Roman"/>
                  <w:color w:val="0000FF"/>
                  <w:sz w:val="24"/>
                  <w:szCs w:val="24"/>
                  <w:u w:val="single"/>
                </w:rPr>
                <w:t>tps://www.ohchr.org/sites/default/files/UDHR/Documents/UDHR_Translations/hng.pdf</w:t>
              </w:r>
            </w:hyperlink>
          </w:p>
        </w:tc>
      </w:tr>
      <w:tr w:rsidR="00A84874" w:rsidRPr="0073738F">
        <w:trPr>
          <w:cantSplit/>
          <w:tblHeader/>
        </w:trPr>
        <w:tc>
          <w:tcPr>
            <w:tcW w:w="9067" w:type="dxa"/>
            <w:shd w:val="clear" w:color="auto" w:fill="DBEEF3"/>
          </w:tcPr>
          <w:p w:rsidR="00A84874" w:rsidRPr="0073738F" w:rsidRDefault="00A556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lastRenderedPageBreak/>
              <w:t>Óraterv</w:t>
            </w:r>
          </w:p>
        </w:tc>
      </w:tr>
      <w:tr w:rsidR="00A84874" w:rsidRPr="0073738F">
        <w:trPr>
          <w:cantSplit/>
          <w:tblHeader/>
        </w:trPr>
        <w:tc>
          <w:tcPr>
            <w:tcW w:w="9067" w:type="dxa"/>
          </w:tcPr>
          <w:p w:rsidR="00A84874" w:rsidRPr="0073738F" w:rsidRDefault="00A55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lastRenderedPageBreak/>
              <w:t>Ez az óra 90 percre van tervezve.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(6 perc) - Bevezető az óra témájába, felvázolni a kérdéseket és bemutatni az óra menetét (pl.: mi fog történni)</w:t>
            </w:r>
          </w:p>
          <w:p w:rsidR="00A84874" w:rsidRPr="0073738F" w:rsidRDefault="00A556A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Inspirációként az óra elején használható a „Bevezető” c. fejezet.</w:t>
            </w:r>
          </w:p>
          <w:p w:rsidR="00A84874" w:rsidRPr="0073738F" w:rsidRDefault="00A556A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Az óra menete: </w:t>
            </w:r>
          </w:p>
          <w:p w:rsidR="00A84874" w:rsidRPr="0073738F" w:rsidRDefault="00A55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20 perc – személyes példák elemzése</w:t>
            </w:r>
          </w:p>
          <w:p w:rsidR="00A84874" w:rsidRPr="0073738F" w:rsidRDefault="00A55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20 perc – regény olvasás</w:t>
            </w:r>
          </w:p>
          <w:p w:rsidR="00A84874" w:rsidRPr="0073738F" w:rsidRDefault="00A55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30 perc – mesemondó gyakorlat</w:t>
            </w:r>
          </w:p>
          <w:p w:rsidR="00A84874" w:rsidRPr="0073738F" w:rsidRDefault="00A55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14 perc - összefoglaló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(20 perc) – Személyes példák gyűjtése, rövid elemzése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Egy nagy körbe áll az egész osztály, párokba fordulva 2-3 perc alatt minden diáknak példát kell találnia egy olyan élményre amikor: „</w:t>
            </w:r>
            <w:r w:rsidRPr="0073738F"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  <w:t>úgy érezted, hogy nem teheted azt, amit szeretnél”.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 körbe visszafordulva az osztály (a tanár útmutatásával) összeszed 4,</w:t>
            </w: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lehetőleg egymástól eltérő szituációkról szóló példákat. Mindegyik példa esetében azt szeretné az osztály kideríteni, vagy megvitatni, hogy „</w:t>
            </w:r>
            <w:r w:rsidRPr="0073738F"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  <w:t>miért</w:t>
            </w: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” nem tehette a diák azt, amit szeretett volna. (Emlékeztető - a szabály az, hogy csak az beszél, akinél babz</w:t>
            </w: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sák van).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(20 perc) –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4830344"/>
              </w:sdtPr>
              <w:sdtContent/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"/>
                <w:id w:val="4830345"/>
              </w:sdtPr>
              <w:sdtContent/>
            </w:sdt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Rövid regény olvasása és értelmezése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Az osztály együtt, hangosan felolvassa a „Brown Morning” (Barna Reggel) című francia eredetű regényt.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 tanárnak meg kell róla bizonyosodnia, hogy a diákok megértettek legalább egy kis darabot, a regényben felmerülő hatalmi helyzet fennállásáról. Ha vannak kérdések, akkor azoknak érdemes röviden teret biztosítani.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Ennél a feladatnál meg lehet fontolni a h</w:t>
            </w: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ázi</w:t>
            </w:r>
            <w:r w:rsid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feladat feladását, például a diákok írásban megpróbálhatják saját maguk szerint értelmezni a regény elemeinek napjainkra vonatkozását.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(30 perc) - Mesemondó gyakorlat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Az osztály 2-3 csoportban elvonulva kidolgoz 2-3 különböző, kitalált karaktert (név, fiktív, vagy valós állampolgárság, családi státusz, munka, etc.) akiket aztán bemutatnak. A kidolgozás alatt ajánlott a jegyzetelés. A feladat során mindegyik csoportnak b</w:t>
            </w: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ele kell építenie a karakterüket „</w:t>
            </w:r>
            <w:r w:rsidRPr="0073738F"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  <w:t>a szabadság legideálisabb fokát jelképező, elképzelt szcenárióba/ élethelyzetbe</w:t>
            </w: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”. 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Ezekkel a karakterekkel most kreatív mesemondást lehet közösen gyakorolni. A tanár előtt sok lehetőség áll arra, hogyan vonja be az összes diákot a mesélésbe (például: meseláncot használva, a körben mindig a következő soron lévő tesz hozzá 1-2 mondatot/ sz</w:t>
            </w: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ót; esetleg mindig van 2-3 diák a kör közepében, akik a fiktív karaktereket játszák, míg az osztály többi része mesél, stb).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(14 perc) – Összefoglalás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  <w:t>Mit tanultál?</w:t>
            </w:r>
          </w:p>
          <w:p w:rsidR="00A84874" w:rsidRPr="0073738F" w:rsidRDefault="00A556A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  <w:t>Szerintetek, mi volt a babzsák szerepe?</w:t>
            </w:r>
          </w:p>
          <w:p w:rsidR="00A84874" w:rsidRPr="0073738F" w:rsidRDefault="00A556A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  <w:t>Vajon fontos-e az emberi szabadságjogainkról tanulni? Miért/ miért nem?</w:t>
            </w:r>
          </w:p>
          <w:p w:rsidR="00A84874" w:rsidRPr="0073738F" w:rsidRDefault="00A556A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  <w:t>Milyen érzés volt a regényt olvasni/ mesét mondani?</w:t>
            </w:r>
          </w:p>
          <w:p w:rsidR="00A84874" w:rsidRPr="0073738F" w:rsidRDefault="00A556A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i/>
                <w:color w:val="000000"/>
                <w:sz w:val="24"/>
                <w:szCs w:val="24"/>
              </w:rPr>
              <w:t>Hogyan tanítanátok erről a témáról másoknak?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874" w:rsidRPr="0073738F">
        <w:trPr>
          <w:cantSplit/>
          <w:tblHeader/>
        </w:trPr>
        <w:tc>
          <w:tcPr>
            <w:tcW w:w="9067" w:type="dxa"/>
            <w:shd w:val="clear" w:color="auto" w:fill="DBEEF3"/>
          </w:tcPr>
          <w:p w:rsidR="00A84874" w:rsidRPr="0073738F" w:rsidRDefault="00A556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lastRenderedPageBreak/>
              <w:t>Felkészülés</w:t>
            </w:r>
          </w:p>
        </w:tc>
      </w:tr>
      <w:tr w:rsidR="00A84874" w:rsidRPr="0073738F">
        <w:trPr>
          <w:cantSplit/>
          <w:tblHeader/>
        </w:trPr>
        <w:tc>
          <w:tcPr>
            <w:tcW w:w="9067" w:type="dxa"/>
          </w:tcPr>
          <w:p w:rsidR="00A84874" w:rsidRPr="0073738F" w:rsidRDefault="00A55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Az órát tartó tanár feladata:</w:t>
            </w:r>
          </w:p>
          <w:p w:rsidR="00A84874" w:rsidRPr="0073738F" w:rsidRDefault="00A556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Biztosítani a szükséges eszközöket</w:t>
            </w:r>
          </w:p>
          <w:p w:rsidR="00A84874" w:rsidRPr="0073738F" w:rsidRDefault="00A556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Betartatni a szabályt: az óra lefolyása alatt, a bevezető után kezdve, csak az beszélhet, akinél babzsák van (mely a „hatalmat” / vagy szólásszabadságot reprezentálja). A résztvevők számától függően lehet 1-3 babzsák egyszerre játékban.</w:t>
            </w:r>
            <w:r w:rsidRPr="0073738F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(Esetleg meg lehet az óra elején egyezni az osztállyal, hogy mi a következménye a játékszabály megszegésének).</w:t>
            </w:r>
          </w:p>
        </w:tc>
      </w:tr>
      <w:tr w:rsidR="00A84874" w:rsidRPr="0073738F">
        <w:trPr>
          <w:cantSplit/>
          <w:tblHeader/>
        </w:trPr>
        <w:tc>
          <w:tcPr>
            <w:tcW w:w="9067" w:type="dxa"/>
            <w:shd w:val="clear" w:color="auto" w:fill="DBEEF3"/>
          </w:tcPr>
          <w:p w:rsidR="00A84874" w:rsidRPr="0073738F" w:rsidRDefault="00A556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Eszközök</w:t>
            </w:r>
          </w:p>
        </w:tc>
      </w:tr>
      <w:tr w:rsidR="00A84874" w:rsidRPr="0073738F">
        <w:trPr>
          <w:cantSplit/>
          <w:trHeight w:val="1982"/>
          <w:tblHeader/>
        </w:trPr>
        <w:tc>
          <w:tcPr>
            <w:tcW w:w="9067" w:type="dxa"/>
          </w:tcPr>
          <w:p w:rsidR="00A84874" w:rsidRPr="0073738F" w:rsidRDefault="00A556A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E-könyv és digitális olvasó eszköz:</w:t>
            </w:r>
          </w:p>
          <w:p w:rsidR="00A84874" w:rsidRPr="0073738F" w:rsidRDefault="00A556A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„Brown Morning” (2003), írta Franck Pavloff, a novellát kiadta The O’Brien Press. Megtekinthető digitális, vagy nyomtatott formában. Az alábbi linken elérhető angolul és franciául: </w:t>
            </w:r>
            <w:hyperlink r:id="rId10">
              <w:r w:rsidRPr="0073738F">
                <w:rPr>
                  <w:rFonts w:ascii="Times New Roman" w:eastAsia="Book Antiqua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3738F">
                <w:rPr>
                  <w:rFonts w:ascii="Times New Roman" w:eastAsia="Book Antiqua" w:hAnsi="Times New Roman" w:cs="Times New Roman"/>
                  <w:color w:val="0000FF"/>
                  <w:sz w:val="24"/>
                  <w:szCs w:val="24"/>
                  <w:u w:val="single"/>
                </w:rPr>
                <w:t>://issuu.com/obrienpress/docs/brownmorning_book</w:t>
              </w:r>
            </w:hyperlink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4874" w:rsidRPr="0073738F" w:rsidRDefault="00A556A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2-3 db babzsák</w:t>
            </w:r>
          </w:p>
          <w:p w:rsidR="00A84874" w:rsidRPr="0073738F" w:rsidRDefault="00A556A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Íróeszközök és papírok</w:t>
            </w:r>
          </w:p>
          <w:p w:rsidR="00A84874" w:rsidRPr="0073738F" w:rsidRDefault="00A84874">
            <w:pPr>
              <w:rPr>
                <w:rFonts w:ascii="Times New Roman" w:eastAsia="Book Antiqua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84874" w:rsidRPr="0073738F" w:rsidRDefault="00A8487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874" w:rsidRPr="0073738F" w:rsidRDefault="00A8487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874" w:rsidRPr="0073738F" w:rsidRDefault="00A8487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7"/>
      </w:tblGrid>
      <w:tr w:rsidR="00A84874" w:rsidRPr="0073738F">
        <w:trPr>
          <w:cantSplit/>
          <w:tblHeader/>
        </w:trPr>
        <w:tc>
          <w:tcPr>
            <w:tcW w:w="9067" w:type="dxa"/>
            <w:shd w:val="clear" w:color="auto" w:fill="DBEEF3"/>
          </w:tcPr>
          <w:p w:rsidR="00A84874" w:rsidRPr="0073738F" w:rsidRDefault="00A55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Célkitűzések</w:t>
            </w:r>
          </w:p>
        </w:tc>
      </w:tr>
      <w:tr w:rsidR="00A84874" w:rsidRPr="0073738F">
        <w:trPr>
          <w:cantSplit/>
          <w:trHeight w:val="58"/>
          <w:tblHeader/>
        </w:trPr>
        <w:tc>
          <w:tcPr>
            <w:tcW w:w="9067" w:type="dxa"/>
          </w:tcPr>
          <w:p w:rsidR="00A84874" w:rsidRPr="0073738F" w:rsidRDefault="00A556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lastRenderedPageBreak/>
              <w:t>A diákok elkezdenek a szabadság társadalmi szerepéről gondolkodni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A diákok az életből vett valós példák segítségével próbálják megérteni, hogy mit jelent a saját (belső – személyes döntésen alapuló -, vagy külső – mások által adott/ korlátozott) szabadságunkat élvezni és milyen, mikor az meg van szorítva. A diákok saját </w:t>
            </w: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maguk között dialógust folytatnak a szabadság sokféle természetéről. Eközben megtapasztalhatják milyen az, ha csak kevés embernek adatik meg „teljes szólásszabadság”, a babzsákok használata révén.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 diákok különböző szemszögbe próbálják helyezni saját álláspontjukat, hogy egy biztonságos (óra termi) közegben, irodalom révén megértsék az emberi elnyomás karakterét. Az empátia, mint szociális készség fejlesztése.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 diákok erőfeszítést tesznek arra, h</w:t>
            </w: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ogy csapatmunka során kifejezzék milyennek gondolják személyes és/ vagy kollektív utópiájukat, az emberi szabadság terén.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</w:p>
          <w:p w:rsidR="00A84874" w:rsidRPr="0073738F" w:rsidRDefault="00A556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 diákok a tanárral együtt, a témához és az óra egészéhez viszonyuló következtetésekre próbálnak jutni. Közben az egymásra való odafi</w:t>
            </w:r>
            <w:r w:rsidRPr="0073738F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gyelést és meghallgatást gyakorolják.</w:t>
            </w:r>
          </w:p>
          <w:p w:rsidR="00A84874" w:rsidRPr="0073738F" w:rsidRDefault="00A8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4874" w:rsidRPr="0073738F" w:rsidRDefault="00A84874">
      <w:pPr>
        <w:spacing w:before="240" w:after="240"/>
        <w:rPr>
          <w:rFonts w:ascii="Times New Roman" w:eastAsia="Open Sans" w:hAnsi="Times New Roman" w:cs="Times New Roman"/>
          <w:color w:val="444444"/>
          <w:sz w:val="24"/>
          <w:szCs w:val="24"/>
          <w:highlight w:val="white"/>
        </w:rPr>
      </w:pPr>
    </w:p>
    <w:sectPr w:rsidR="00A84874" w:rsidRPr="0073738F" w:rsidSect="00A8487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D" w15:done="0"/>
  <w15:commentEx w15:paraId="0000006E" w15:paraIdParent="0000006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A5" w:rsidRDefault="00A556A5" w:rsidP="00A84874">
      <w:pPr>
        <w:spacing w:line="240" w:lineRule="auto"/>
      </w:pPr>
      <w:r>
        <w:separator/>
      </w:r>
    </w:p>
  </w:endnote>
  <w:endnote w:type="continuationSeparator" w:id="1">
    <w:p w:rsidR="00A556A5" w:rsidRDefault="00A556A5" w:rsidP="00A84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A5" w:rsidRDefault="00A556A5" w:rsidP="00A84874">
      <w:pPr>
        <w:spacing w:line="240" w:lineRule="auto"/>
      </w:pPr>
      <w:r>
        <w:separator/>
      </w:r>
    </w:p>
  </w:footnote>
  <w:footnote w:type="continuationSeparator" w:id="1">
    <w:p w:rsidR="00A556A5" w:rsidRDefault="00A556A5" w:rsidP="00A84874">
      <w:pPr>
        <w:spacing w:line="240" w:lineRule="auto"/>
      </w:pPr>
      <w:r>
        <w:continuationSeparator/>
      </w:r>
    </w:p>
  </w:footnote>
  <w:footnote w:id="2">
    <w:p w:rsidR="00A84874" w:rsidRDefault="00A55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Style w:val="Lbjegyzet-hivatkozs"/>
        </w:rPr>
        <w:footnoteRef/>
      </w:r>
      <w:r>
        <w:rPr>
          <w:color w:val="000000"/>
          <w:sz w:val="20"/>
          <w:szCs w:val="20"/>
        </w:rPr>
        <w:t xml:space="preserve"> Az Emberi Jogok Egyetemes Nyilatkozata, forrás: </w:t>
      </w:r>
      <w:hyperlink r:id="rId1">
        <w:r>
          <w:rPr>
            <w:color w:val="0000FF"/>
            <w:sz w:val="20"/>
            <w:szCs w:val="20"/>
            <w:u w:val="single"/>
          </w:rPr>
          <w:t>https://www.ohchr.org/sites/default/files/UDHR/Documents/UDHR_Translations/hng.pdf</w:t>
        </w:r>
      </w:hyperlink>
      <w:r>
        <w:rPr>
          <w:color w:val="000000"/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694"/>
    <w:multiLevelType w:val="multilevel"/>
    <w:tmpl w:val="FB06B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4F3485"/>
    <w:multiLevelType w:val="multilevel"/>
    <w:tmpl w:val="2B723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1809"/>
    <w:multiLevelType w:val="multilevel"/>
    <w:tmpl w:val="D9C87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891A79"/>
    <w:multiLevelType w:val="multilevel"/>
    <w:tmpl w:val="77AA1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2552C9F"/>
    <w:multiLevelType w:val="multilevel"/>
    <w:tmpl w:val="20C69C5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B6DBA"/>
    <w:multiLevelType w:val="multilevel"/>
    <w:tmpl w:val="B220EFF2"/>
    <w:lvl w:ilvl="0">
      <w:start w:val="1"/>
      <w:numFmt w:val="decimal"/>
      <w:lvlText w:val="%1)"/>
      <w:lvlJc w:val="left"/>
      <w:pPr>
        <w:ind w:left="720" w:hanging="360"/>
      </w:pPr>
      <w:rPr>
        <w:rFonts w:ascii="Open Sans" w:eastAsia="Open Sans" w:hAnsi="Open Sans" w:cs="Open Sans"/>
        <w:color w:val="222222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874"/>
    <w:rsid w:val="0073738F"/>
    <w:rsid w:val="00A556A5"/>
    <w:rsid w:val="00A8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874"/>
  </w:style>
  <w:style w:type="paragraph" w:styleId="Cmsor1">
    <w:name w:val="heading 1"/>
    <w:basedOn w:val="Norml"/>
    <w:next w:val="Norml"/>
    <w:uiPriority w:val="9"/>
    <w:qFormat/>
    <w:rsid w:val="00A848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A848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A848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rsid w:val="00A848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rsid w:val="00A84874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rsid w:val="00A848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A84874"/>
  </w:style>
  <w:style w:type="table" w:customStyle="1" w:styleId="TableNormal">
    <w:name w:val="Table Normal"/>
    <w:rsid w:val="00A848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rsid w:val="00A84874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rsid w:val="00A848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ltblzat"/>
    <w:rsid w:val="00A8487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tblzat"/>
    <w:rsid w:val="00A8487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hivatkozs">
    <w:name w:val="Hyperlink"/>
    <w:basedOn w:val="Bekezdsalapbettpusa"/>
    <w:uiPriority w:val="99"/>
    <w:unhideWhenUsed/>
    <w:rsid w:val="00416068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504A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504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504A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D504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25DE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D4905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1A1E5F"/>
    <w:rPr>
      <w:color w:val="800080" w:themeColor="followedHyperlink"/>
      <w:u w:val="single"/>
    </w:rPr>
  </w:style>
  <w:style w:type="table" w:customStyle="1" w:styleId="a1">
    <w:basedOn w:val="Normltblzat"/>
    <w:rsid w:val="00A8487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ltblzat"/>
    <w:rsid w:val="00A8487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Normltblzat"/>
    <w:rsid w:val="00A8487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Normltblzat"/>
    <w:rsid w:val="00A8487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A848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4874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84874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entalista.hu/szotar-a-mahoz-2-resz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ssuu.com/obrienpress/docs/brownmorning_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chr.org/sites/default/files/UDHR/Documents/UDHR_Translations/hng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chr.org/sites/default/files/UDHR/Documents/UDHR_Translations/h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tfDP8Dy8bH7VwtsdazoUFVq+g==">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1272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Berényi Noémi</dc:creator>
  <cp:lastModifiedBy>Györgyi</cp:lastModifiedBy>
  <cp:revision>2</cp:revision>
  <dcterms:created xsi:type="dcterms:W3CDTF">2022-11-17T14:48:00Z</dcterms:created>
  <dcterms:modified xsi:type="dcterms:W3CDTF">2022-12-04T05:56:00Z</dcterms:modified>
</cp:coreProperties>
</file>