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45D" w:rsidRPr="005A4CEB" w:rsidRDefault="005A4CEB">
      <w:pPr>
        <w:rPr>
          <w:b/>
        </w:rPr>
      </w:pPr>
      <w:r w:rsidRPr="005A4CEB">
        <w:rPr>
          <w:b/>
        </w:rPr>
        <w:t>Takács Borbála: Menekültjogok</w:t>
      </w:r>
    </w:p>
    <w:p w:rsidR="005A4CEB" w:rsidRDefault="005A4CEB"/>
    <w:tbl>
      <w:tblPr>
        <w:tblStyle w:val="a1"/>
        <w:tblW w:w="97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5"/>
        <w:gridCol w:w="142"/>
        <w:gridCol w:w="5523"/>
        <w:gridCol w:w="142"/>
        <w:gridCol w:w="1982"/>
      </w:tblGrid>
      <w:tr w:rsidR="0037345D">
        <w:trPr>
          <w:cantSplit/>
          <w:tblHeader/>
        </w:trPr>
        <w:tc>
          <w:tcPr>
            <w:tcW w:w="2127" w:type="dxa"/>
            <w:gridSpan w:val="2"/>
            <w:shd w:val="clear" w:color="auto" w:fill="EAF1DD"/>
          </w:tcPr>
          <w:p w:rsidR="0037345D" w:rsidRDefault="00C1576C">
            <w:pPr>
              <w:rPr>
                <w:b/>
              </w:rPr>
            </w:pPr>
            <w:r>
              <w:rPr>
                <w:b/>
              </w:rPr>
              <w:t>Az óra témája:</w:t>
            </w:r>
          </w:p>
        </w:tc>
        <w:tc>
          <w:tcPr>
            <w:tcW w:w="7647" w:type="dxa"/>
            <w:gridSpan w:val="3"/>
          </w:tcPr>
          <w:p w:rsidR="0037345D" w:rsidRDefault="00C1576C">
            <w:r>
              <w:t xml:space="preserve"> Menekültjog, alapvető emberi jogok, befogadás </w:t>
            </w:r>
          </w:p>
        </w:tc>
      </w:tr>
      <w:tr w:rsidR="0037345D">
        <w:trPr>
          <w:cantSplit/>
          <w:tblHeader/>
        </w:trPr>
        <w:tc>
          <w:tcPr>
            <w:tcW w:w="2127" w:type="dxa"/>
            <w:gridSpan w:val="2"/>
            <w:shd w:val="clear" w:color="auto" w:fill="EAF1DD"/>
          </w:tcPr>
          <w:p w:rsidR="0037345D" w:rsidRDefault="00C1576C">
            <w:pPr>
              <w:rPr>
                <w:b/>
              </w:rPr>
            </w:pPr>
            <w:r>
              <w:rPr>
                <w:b/>
              </w:rPr>
              <w:t xml:space="preserve">Az óra célja: </w:t>
            </w:r>
          </w:p>
        </w:tc>
        <w:tc>
          <w:tcPr>
            <w:tcW w:w="5523" w:type="dxa"/>
          </w:tcPr>
          <w:p w:rsidR="0037345D" w:rsidRDefault="00C1576C">
            <w:pPr>
              <w:tabs>
                <w:tab w:val="left" w:pos="1568"/>
              </w:tabs>
            </w:pPr>
            <w:r>
              <w:t xml:space="preserve"> Létrehozni egy megértést az emberi jogainkat illetően. A különböző fogalmak, mint migráció, menekült</w:t>
            </w:r>
            <w:r w:rsidR="005A4CEB">
              <w:t xml:space="preserve"> státusz, menedékjog kérő elsajátítá</w:t>
            </w:r>
            <w:r>
              <w:t xml:space="preserve">sa. </w:t>
            </w:r>
          </w:p>
        </w:tc>
        <w:tc>
          <w:tcPr>
            <w:tcW w:w="142" w:type="dxa"/>
            <w:shd w:val="clear" w:color="auto" w:fill="EAF1DD"/>
          </w:tcPr>
          <w:p w:rsidR="0037345D" w:rsidRDefault="0037345D">
            <w:pPr>
              <w:rPr>
                <w:b/>
              </w:rPr>
            </w:pPr>
          </w:p>
        </w:tc>
        <w:tc>
          <w:tcPr>
            <w:tcW w:w="1982" w:type="dxa"/>
          </w:tcPr>
          <w:p w:rsidR="0037345D" w:rsidRDefault="0037345D">
            <w:pPr>
              <w:jc w:val="center"/>
            </w:pPr>
          </w:p>
        </w:tc>
      </w:tr>
      <w:tr w:rsidR="0037345D">
        <w:trPr>
          <w:cantSplit/>
          <w:tblHeader/>
        </w:trPr>
        <w:tc>
          <w:tcPr>
            <w:tcW w:w="2127" w:type="dxa"/>
            <w:gridSpan w:val="2"/>
            <w:shd w:val="clear" w:color="auto" w:fill="EAF1DD"/>
          </w:tcPr>
          <w:p w:rsidR="0037345D" w:rsidRDefault="00C1576C">
            <w:pPr>
              <w:rPr>
                <w:b/>
              </w:rPr>
            </w:pPr>
            <w:r>
              <w:rPr>
                <w:b/>
              </w:rPr>
              <w:t>Az Emberi Jogok Egyetemes Nyilatkozatának ezen pontjait érinti az óraterv:</w:t>
            </w:r>
          </w:p>
        </w:tc>
        <w:tc>
          <w:tcPr>
            <w:tcW w:w="7647" w:type="dxa"/>
            <w:gridSpan w:val="3"/>
          </w:tcPr>
          <w:p w:rsidR="0037345D" w:rsidRDefault="0037345D"/>
          <w:p w:rsidR="0037345D" w:rsidRDefault="00C1576C">
            <w:r>
              <w:t xml:space="preserve">13. cikk 1. Az államon belül minden személynek joga van szabadon mozogni és lakóhelyét szabadon megválasztani. </w:t>
            </w:r>
          </w:p>
          <w:p w:rsidR="0037345D" w:rsidRDefault="00C1576C">
            <w:r>
              <w:t>2. Minden személynek joga van minden országot, ideértve saját hazájá</w:t>
            </w:r>
            <w:r>
              <w:t xml:space="preserve">t is, elhagyni, valamint saját hazájába visszatérni. </w:t>
            </w:r>
          </w:p>
          <w:p w:rsidR="0037345D" w:rsidRDefault="0037345D"/>
          <w:p w:rsidR="0037345D" w:rsidRDefault="00C1576C">
            <w:r>
              <w:t xml:space="preserve">14. cikk 1. Minden személynek joga van az üldözés elől más országban menedéket keresni és a más ország nyújtotta menedéket élvezni. </w:t>
            </w:r>
          </w:p>
          <w:p w:rsidR="0037345D" w:rsidRDefault="00C1576C">
            <w:r>
              <w:t>2. Erre a jogra nem lehet hivatkozni közönséges bűncselekmény miatti</w:t>
            </w:r>
            <w:r>
              <w:t>. kellőképpen megalapozott üldözés, sem pedig az Egyesült Nemzetek céljaival és elveivel ellentétes tevékenység esetében.</w:t>
            </w:r>
          </w:p>
          <w:p w:rsidR="0037345D" w:rsidRDefault="0037345D"/>
        </w:tc>
      </w:tr>
      <w:tr w:rsidR="0037345D">
        <w:trPr>
          <w:cantSplit/>
          <w:tblHeader/>
        </w:trPr>
        <w:tc>
          <w:tcPr>
            <w:tcW w:w="2127" w:type="dxa"/>
            <w:gridSpan w:val="2"/>
            <w:shd w:val="clear" w:color="auto" w:fill="EAF1DD"/>
          </w:tcPr>
          <w:p w:rsidR="0037345D" w:rsidRDefault="00C1576C">
            <w:pPr>
              <w:rPr>
                <w:b/>
              </w:rPr>
            </w:pPr>
            <w:r>
              <w:rPr>
                <w:b/>
              </w:rPr>
              <w:t xml:space="preserve">Az óra kidolgozójának neve: </w:t>
            </w:r>
          </w:p>
        </w:tc>
        <w:tc>
          <w:tcPr>
            <w:tcW w:w="7647" w:type="dxa"/>
            <w:gridSpan w:val="3"/>
          </w:tcPr>
          <w:p w:rsidR="0037345D" w:rsidRDefault="00C1576C">
            <w:r>
              <w:t>Takács Borbála</w:t>
            </w:r>
          </w:p>
        </w:tc>
      </w:tr>
      <w:tr w:rsidR="0037345D">
        <w:trPr>
          <w:cantSplit/>
          <w:trHeight w:val="25"/>
          <w:tblHeader/>
        </w:trPr>
        <w:tc>
          <w:tcPr>
            <w:tcW w:w="2127" w:type="dxa"/>
            <w:gridSpan w:val="2"/>
            <w:shd w:val="clear" w:color="auto" w:fill="EAF1DD"/>
          </w:tcPr>
          <w:p w:rsidR="0037345D" w:rsidRDefault="00C1576C">
            <w:pPr>
              <w:rPr>
                <w:b/>
              </w:rPr>
            </w:pPr>
            <w:r>
              <w:rPr>
                <w:b/>
              </w:rPr>
              <w:t>Ajánlott korosztály:</w:t>
            </w:r>
          </w:p>
        </w:tc>
        <w:tc>
          <w:tcPr>
            <w:tcW w:w="7647" w:type="dxa"/>
            <w:gridSpan w:val="3"/>
          </w:tcPr>
          <w:p w:rsidR="0037345D" w:rsidRDefault="00C1576C">
            <w:pPr>
              <w:jc w:val="both"/>
            </w:pPr>
            <w:r>
              <w:t>16-30 év közötti korosztály</w:t>
            </w:r>
          </w:p>
        </w:tc>
      </w:tr>
      <w:tr w:rsidR="0037345D">
        <w:trPr>
          <w:cantSplit/>
          <w:tblHeader/>
        </w:trPr>
        <w:tc>
          <w:tcPr>
            <w:tcW w:w="2127" w:type="dxa"/>
            <w:gridSpan w:val="2"/>
            <w:shd w:val="clear" w:color="auto" w:fill="EAF1DD"/>
          </w:tcPr>
          <w:p w:rsidR="0037345D" w:rsidRDefault="00C1576C">
            <w:pPr>
              <w:rPr>
                <w:b/>
              </w:rPr>
            </w:pPr>
            <w:r>
              <w:rPr>
                <w:b/>
              </w:rPr>
              <w:t xml:space="preserve">Az óra hossza: </w:t>
            </w:r>
          </w:p>
        </w:tc>
        <w:tc>
          <w:tcPr>
            <w:tcW w:w="7647" w:type="dxa"/>
            <w:gridSpan w:val="3"/>
          </w:tcPr>
          <w:p w:rsidR="0037345D" w:rsidRDefault="00C1576C">
            <w:r>
              <w:t>1 óra</w:t>
            </w:r>
          </w:p>
          <w:p w:rsidR="0037345D" w:rsidRDefault="0037345D"/>
        </w:tc>
      </w:tr>
      <w:tr w:rsidR="0037345D">
        <w:trPr>
          <w:cantSplit/>
          <w:tblHeader/>
        </w:trPr>
        <w:tc>
          <w:tcPr>
            <w:tcW w:w="9774" w:type="dxa"/>
            <w:gridSpan w:val="5"/>
            <w:shd w:val="clear" w:color="auto" w:fill="EAF1DD"/>
          </w:tcPr>
          <w:p w:rsidR="0037345D" w:rsidRDefault="00C1576C">
            <w:pPr>
              <w:rPr>
                <w:b/>
              </w:rPr>
            </w:pPr>
            <w:r>
              <w:rPr>
                <w:b/>
              </w:rPr>
              <w:t xml:space="preserve">                                                      BEVEZETŐ</w:t>
            </w:r>
          </w:p>
          <w:p w:rsidR="0037345D" w:rsidRDefault="0037345D">
            <w:pPr>
              <w:rPr>
                <w:b/>
              </w:rPr>
            </w:pPr>
          </w:p>
        </w:tc>
      </w:tr>
      <w:tr w:rsidR="0037345D">
        <w:trPr>
          <w:cantSplit/>
          <w:trHeight w:val="22"/>
          <w:tblHeader/>
        </w:trPr>
        <w:tc>
          <w:tcPr>
            <w:tcW w:w="9774" w:type="dxa"/>
            <w:gridSpan w:val="5"/>
          </w:tcPr>
          <w:p w:rsidR="0037345D" w:rsidRDefault="0037345D">
            <w:pPr>
              <w:jc w:val="both"/>
            </w:pPr>
          </w:p>
          <w:p w:rsidR="0037345D" w:rsidRDefault="00C1576C">
            <w:r>
              <w:t>Gondoltál már arra, hogy határok vesznek körül minket? Az embert a fizikai, szellemi, mentális határai beburkolják. A határok megtalálnak minket országok között, utak és járdák mellett, szem</w:t>
            </w:r>
            <w:r>
              <w:t>élyes térként vagy erkölcsi tabuként, füzetekben és árnyékokban ...</w:t>
            </w:r>
          </w:p>
          <w:p w:rsidR="0037345D" w:rsidRDefault="00C1576C">
            <w:r>
              <w:t>A határok akár lehetnek tudatosak vagy tudatalattiak, önkéntesek vagy létrehozottak, de a legnagyobb kihívás az, hogy a világot rajtuk kívül is lássuk, ne csak rajtuk keresztül.</w:t>
            </w:r>
          </w:p>
          <w:p w:rsidR="0037345D" w:rsidRDefault="00C1576C">
            <w:r>
              <w:t>Számomra m</w:t>
            </w:r>
            <w:r>
              <w:t xml:space="preserve">egérintő megfigyelni, hogy a határok – külső és belső – valójában láthatatlanok. Ezek a láthatatlan vonalak behálózzák a Földünket, és különböző mintázatokat alkotnak – felvehetik kerítés formáját, de elbújhatnak az elménk mélyére is berögződésként. </w:t>
            </w:r>
          </w:p>
          <w:p w:rsidR="0037345D" w:rsidRDefault="0037345D"/>
          <w:p w:rsidR="0037345D" w:rsidRDefault="00C1576C">
            <w:bookmarkStart w:id="0" w:name="_heading=h.gjdgxs" w:colFirst="0" w:colLast="0"/>
            <w:bookmarkEnd w:id="0"/>
            <w:r>
              <w:t xml:space="preserve">Egy olyan világban élünk, ahol egyre nagyobb szakadék van a gazdagok és a szegények, a globális dél és a globális észak között. </w:t>
            </w:r>
          </w:p>
          <w:p w:rsidR="0037345D" w:rsidRDefault="00C1576C">
            <w:bookmarkStart w:id="1" w:name="_heading=h.30j0zll" w:colFirst="0" w:colLast="0"/>
            <w:bookmarkEnd w:id="1"/>
            <w:r>
              <w:t xml:space="preserve">Ahol a sokszínű kultúrák mintha elválasztanának minket, ahol félünk a különbözőségtől. </w:t>
            </w:r>
          </w:p>
          <w:p w:rsidR="0037345D" w:rsidRDefault="0037345D"/>
          <w:p w:rsidR="0037345D" w:rsidRDefault="00C1576C">
            <w:r>
              <w:t xml:space="preserve">Ahol olyan vezetőket választunk, akik </w:t>
            </w:r>
            <w:r>
              <w:t>megígérik, hogy életünket kényelmes mederben tartják más emberek életének megnehezítése árán.</w:t>
            </w:r>
          </w:p>
          <w:p w:rsidR="0037345D" w:rsidRDefault="0037345D"/>
          <w:p w:rsidR="0037345D" w:rsidRDefault="00C1576C">
            <w:r>
              <w:t>Ahol kormányaink fegyverekkel finanszírozzák a háborúkat, háborúkat a mi országunktól távol zajlik, ám a menekültjei elérnek hozzánk .</w:t>
            </w:r>
          </w:p>
          <w:p w:rsidR="0037345D" w:rsidRDefault="00C1576C">
            <w:r>
              <w:t xml:space="preserve">És ebben a világban csend </w:t>
            </w:r>
            <w:r>
              <w:t xml:space="preserve">van, amikor egymást felelősségre kell vonni cselekedeteinkért, de erőszak van, amikor úgy érezzük, hogy valami akadályozza az életünk alakulását. </w:t>
            </w:r>
          </w:p>
          <w:p w:rsidR="0037345D" w:rsidRDefault="0037345D"/>
          <w:p w:rsidR="0037345D" w:rsidRDefault="00C1576C">
            <w:bookmarkStart w:id="2" w:name="_heading=h.1fob9te" w:colFirst="0" w:colLast="0"/>
            <w:bookmarkEnd w:id="2"/>
            <w:r>
              <w:t xml:space="preserve">Van egy rendszer, egy társadalmi réteg, egy életmód, amely elszigetel minket buborékjainkban, lakásainkban, </w:t>
            </w:r>
            <w:r>
              <w:t>olyan körbe, amelyből nem törünk, nem tudunk kitörni.</w:t>
            </w:r>
          </w:p>
          <w:p w:rsidR="0037345D" w:rsidRDefault="0037345D"/>
          <w:p w:rsidR="0037345D" w:rsidRDefault="00C1576C">
            <w:bookmarkStart w:id="3" w:name="_heading=h.3znysh7" w:colFirst="0" w:colLast="0"/>
            <w:bookmarkEnd w:id="3"/>
            <w:r>
              <w:t>Olyan világban élünk, ahol az emberi tevékenység évtizedek óta pusztítja a természetet, és ahol legkevésbé azok felelősek, akiket a következményei leginkább érintenek. Naponta látjuk, hogy igazságtalan</w:t>
            </w:r>
            <w:r>
              <w:t xml:space="preserve">ságok történnek, de ez minket nem érint, mert nem rólunk szól. </w:t>
            </w:r>
          </w:p>
          <w:p w:rsidR="0037345D" w:rsidRDefault="0037345D"/>
          <w:p w:rsidR="0037345D" w:rsidRDefault="00C1576C">
            <w:pPr>
              <w:jc w:val="both"/>
            </w:pPr>
            <w:r>
              <w:t xml:space="preserve">Látjuk, hogy az emberek értékét azzal mérik, hogy mennyi pénzük van, vagy a bőrük színével. Gyorsan fejlődő technológiát látunk, amely átalakítja kapcsolatainkat, a munkahelyeket és az egész </w:t>
            </w:r>
            <w:r>
              <w:t>társadalmat. Ezt látjuk, de megfigyelők vagyunk. Vagy talán nem is látjuk, mert a média csak egy perspektívát mutat, a társadalmi kör miatt, amelyben felnőttünk, vagy azért, mert egyetlen téren sem tanultuk meg, hogyan keressük az ismereteket.</w:t>
            </w:r>
          </w:p>
          <w:p w:rsidR="0037345D" w:rsidRDefault="0037345D">
            <w:pPr>
              <w:jc w:val="both"/>
            </w:pPr>
          </w:p>
          <w:p w:rsidR="0037345D" w:rsidRDefault="00C1576C">
            <w:r>
              <w:t>Ez arra kés</w:t>
            </w:r>
            <w:r>
              <w:t xml:space="preserve">ztetett, hogy megkérdőjelezzem : hol az igazság? Miért tehet meg valamit egy ember, és miért vannak mások korlátozva? És hol vannak a jogaink? Mi az ami megillet bennünket? Lehetséges-e hogy az emberi jogok megszegése nem jár következményekkel? </w:t>
            </w:r>
          </w:p>
          <w:p w:rsidR="0037345D" w:rsidRDefault="0037345D"/>
          <w:p w:rsidR="0037345D" w:rsidRDefault="00C1576C">
            <w:r>
              <w:t>Elkezdtem</w:t>
            </w:r>
            <w:r>
              <w:t xml:space="preserve"> azon gondolkodni, hogyan nézne ki a világ minden határ nélkül, ha az emberek képesek lennének utazni, mozogni, bárhol élni. Egy világ, ahol az embereknek joga van elhagyni az országát, és joga van méltó életet kezdeni egy másikban.  Egy olyan világot, aho</w:t>
            </w:r>
            <w:r>
              <w:t>l a szabad mozgásnak nincs irányítása. Ez több békét hozna? Vagy újabb konfliktusokat hozna? Ki profitál a nemzetek közötti határok megtartásából?</w:t>
            </w:r>
          </w:p>
          <w:p w:rsidR="0037345D" w:rsidRDefault="0037345D"/>
          <w:p w:rsidR="0037345D" w:rsidRDefault="00C1576C">
            <w:r>
              <w:t>A Földön élünk, ugyanazon a földön. Az a föld, amely élelmet termel, minden ember számára vizet és levegőt b</w:t>
            </w:r>
            <w:r>
              <w:t>iztosít, megkülönböztetés nélkül. Egy olyan föld, amely hatalmas potenciállal és erővel rendelkezik arra, hogy természeti katasztrófa által bármikor átvegye az embereket. Ennek ellenére olyan bélyegeket várunk, amelyek lehetővé teszik számunkra, hogy belép</w:t>
            </w:r>
            <w:r>
              <w:t>jünk egy országba, ugyanarra a földre.</w:t>
            </w:r>
          </w:p>
          <w:p w:rsidR="0037345D" w:rsidRDefault="0037345D">
            <w:pPr>
              <w:jc w:val="both"/>
            </w:pPr>
          </w:p>
          <w:p w:rsidR="0037345D" w:rsidRDefault="0037345D">
            <w:pPr>
              <w:jc w:val="both"/>
            </w:pPr>
          </w:p>
        </w:tc>
      </w:tr>
      <w:tr w:rsidR="0037345D">
        <w:trPr>
          <w:cantSplit/>
          <w:tblHeader/>
        </w:trPr>
        <w:tc>
          <w:tcPr>
            <w:tcW w:w="9774" w:type="dxa"/>
            <w:gridSpan w:val="5"/>
            <w:shd w:val="clear" w:color="auto" w:fill="EAF1DD"/>
          </w:tcPr>
          <w:p w:rsidR="0037345D" w:rsidRDefault="00C1576C">
            <w:pPr>
              <w:rPr>
                <w:b/>
              </w:rPr>
            </w:pPr>
            <w:r>
              <w:rPr>
                <w:b/>
              </w:rPr>
              <w:lastRenderedPageBreak/>
              <w:t>Tevékenység</w:t>
            </w:r>
          </w:p>
        </w:tc>
      </w:tr>
      <w:tr w:rsidR="0037345D">
        <w:trPr>
          <w:cantSplit/>
          <w:trHeight w:val="134"/>
          <w:tblHeader/>
        </w:trPr>
        <w:tc>
          <w:tcPr>
            <w:tcW w:w="9774" w:type="dxa"/>
            <w:gridSpan w:val="5"/>
          </w:tcPr>
          <w:p w:rsidR="0037345D" w:rsidRDefault="0037345D"/>
          <w:p w:rsidR="0037345D" w:rsidRDefault="00C1576C">
            <w:pPr>
              <w:rPr>
                <w:b/>
              </w:rPr>
            </w:pPr>
            <w:r>
              <w:rPr>
                <w:b/>
              </w:rPr>
              <w:t>Bemelegítés, ismerkedés - 10 perc</w:t>
            </w:r>
          </w:p>
          <w:p w:rsidR="0037345D" w:rsidRDefault="0037345D">
            <w:pPr>
              <w:rPr>
                <w:b/>
              </w:rPr>
            </w:pPr>
          </w:p>
          <w:p w:rsidR="0037345D" w:rsidRDefault="0037345D"/>
          <w:p w:rsidR="0037345D" w:rsidRDefault="00C1576C">
            <w:pPr>
              <w:widowControl/>
              <w:numPr>
                <w:ilvl w:val="0"/>
                <w:numId w:val="3"/>
              </w:numPr>
              <w:spacing w:line="276" w:lineRule="auto"/>
              <w:ind w:left="1275" w:hanging="1133"/>
            </w:pPr>
            <w:r>
              <w:t>Név  és gesztus kör, mindenki megismétli</w:t>
            </w:r>
          </w:p>
          <w:p w:rsidR="0037345D" w:rsidRDefault="00C1576C">
            <w:pPr>
              <w:widowControl/>
              <w:numPr>
                <w:ilvl w:val="0"/>
                <w:numId w:val="3"/>
              </w:numPr>
              <w:spacing w:line="276" w:lineRule="auto"/>
              <w:ind w:left="1275" w:hanging="1133"/>
            </w:pPr>
            <w:r>
              <w:t>A mondja a nevét B-nek, B elismétli A-nak, mad B a saját nevét adja tovább C-nek, körben</w:t>
            </w:r>
          </w:p>
          <w:p w:rsidR="0037345D" w:rsidRDefault="00C1576C">
            <w:pPr>
              <w:widowControl/>
              <w:numPr>
                <w:ilvl w:val="0"/>
                <w:numId w:val="3"/>
              </w:numPr>
              <w:spacing w:line="276" w:lineRule="auto"/>
              <w:ind w:left="1275" w:hanging="1133"/>
            </w:pPr>
            <w:r>
              <w:t>Kényelmes távolság egymástól – térben</w:t>
            </w:r>
          </w:p>
          <w:p w:rsidR="0037345D" w:rsidRDefault="00C1576C">
            <w:pPr>
              <w:widowControl/>
              <w:numPr>
                <w:ilvl w:val="0"/>
                <w:numId w:val="3"/>
              </w:numPr>
              <w:spacing w:line="276" w:lineRule="auto"/>
              <w:ind w:left="1275" w:hanging="1133"/>
            </w:pPr>
            <w:r>
              <w:t>Diagonálisok, csoportok, a terem két része:</w:t>
            </w:r>
          </w:p>
          <w:p w:rsidR="0037345D" w:rsidRDefault="00C1576C">
            <w:pPr>
              <w:widowControl/>
              <w:numPr>
                <w:ilvl w:val="1"/>
                <w:numId w:val="3"/>
              </w:numPr>
              <w:spacing w:line="276" w:lineRule="auto"/>
              <w:ind w:left="1275" w:hanging="566"/>
            </w:pPr>
            <w:r>
              <w:t>hány külföldit ismersz?</w:t>
            </w:r>
          </w:p>
          <w:p w:rsidR="0037345D" w:rsidRDefault="00C1576C">
            <w:pPr>
              <w:widowControl/>
              <w:numPr>
                <w:ilvl w:val="1"/>
                <w:numId w:val="3"/>
              </w:numPr>
              <w:spacing w:line="276" w:lineRule="auto"/>
              <w:ind w:left="1275" w:hanging="566"/>
            </w:pPr>
            <w:r>
              <w:t>hányszor költöztél?</w:t>
            </w:r>
          </w:p>
          <w:p w:rsidR="0037345D" w:rsidRDefault="00C1576C">
            <w:pPr>
              <w:widowControl/>
              <w:numPr>
                <w:ilvl w:val="1"/>
                <w:numId w:val="3"/>
              </w:numPr>
              <w:spacing w:line="276" w:lineRule="auto"/>
              <w:ind w:left="1275" w:hanging="566"/>
            </w:pPr>
            <w:r>
              <w:t>hány képzési intézménybe jártál?</w:t>
            </w:r>
          </w:p>
          <w:p w:rsidR="0037345D" w:rsidRDefault="00C1576C">
            <w:pPr>
              <w:widowControl/>
              <w:numPr>
                <w:ilvl w:val="1"/>
                <w:numId w:val="3"/>
              </w:numPr>
              <w:spacing w:line="276" w:lineRule="auto"/>
              <w:ind w:left="1275" w:hanging="566"/>
            </w:pPr>
            <w:r>
              <w:t>mennyire értesz angolul?</w:t>
            </w:r>
          </w:p>
          <w:p w:rsidR="0037345D" w:rsidRDefault="00C1576C">
            <w:pPr>
              <w:widowControl/>
              <w:numPr>
                <w:ilvl w:val="1"/>
                <w:numId w:val="3"/>
              </w:numPr>
              <w:spacing w:line="276" w:lineRule="auto"/>
              <w:ind w:left="1275" w:hanging="566"/>
            </w:pPr>
            <w:r>
              <w:t>mennyire szívesen beszélsz angolul?</w:t>
            </w:r>
          </w:p>
          <w:p w:rsidR="0037345D" w:rsidRDefault="00C1576C">
            <w:pPr>
              <w:widowControl/>
              <w:numPr>
                <w:ilvl w:val="1"/>
                <w:numId w:val="3"/>
              </w:numPr>
              <w:spacing w:line="276" w:lineRule="auto"/>
              <w:ind w:left="1275" w:hanging="566"/>
            </w:pPr>
            <w:r>
              <w:t>voltál már interaktív/részvételi/pedagógiai színházi eseményen?</w:t>
            </w:r>
          </w:p>
          <w:p w:rsidR="0037345D" w:rsidRDefault="00C1576C">
            <w:pPr>
              <w:widowControl/>
              <w:numPr>
                <w:ilvl w:val="1"/>
                <w:numId w:val="3"/>
              </w:numPr>
              <w:spacing w:line="276" w:lineRule="auto"/>
              <w:ind w:left="1275" w:hanging="566"/>
            </w:pPr>
            <w:r>
              <w:t>mennyire félsz egy ilyen eseménytől?</w:t>
            </w:r>
          </w:p>
          <w:p w:rsidR="0037345D" w:rsidRDefault="00C1576C">
            <w:pPr>
              <w:widowControl/>
              <w:numPr>
                <w:ilvl w:val="0"/>
                <w:numId w:val="3"/>
              </w:numPr>
              <w:spacing w:line="276" w:lineRule="auto"/>
              <w:ind w:left="850" w:hanging="570"/>
            </w:pPr>
            <w:r>
              <w:t>Belső és külső kör kialakítása –» párok</w:t>
            </w:r>
          </w:p>
          <w:p w:rsidR="0037345D" w:rsidRDefault="00C1576C">
            <w:pPr>
              <w:widowControl/>
              <w:numPr>
                <w:ilvl w:val="1"/>
                <w:numId w:val="3"/>
              </w:numPr>
              <w:spacing w:line="276" w:lineRule="auto"/>
              <w:ind w:left="1275" w:hanging="566"/>
            </w:pPr>
            <w:r>
              <w:t>egymásba szemébe nézni 5 mp-ig, 3 párcserével</w:t>
            </w:r>
          </w:p>
          <w:p w:rsidR="0037345D" w:rsidRDefault="00C1576C">
            <w:pPr>
              <w:widowControl/>
              <w:numPr>
                <w:ilvl w:val="1"/>
                <w:numId w:val="3"/>
              </w:numPr>
              <w:spacing w:line="276" w:lineRule="auto"/>
              <w:ind w:left="1275" w:hanging="566"/>
            </w:pPr>
            <w:r>
              <w:t>karlendítés-ritmus játék, azonos gesztusnál tapssal</w:t>
            </w:r>
          </w:p>
          <w:p w:rsidR="0037345D" w:rsidRDefault="00C1576C">
            <w:pPr>
              <w:widowControl/>
              <w:numPr>
                <w:ilvl w:val="1"/>
                <w:numId w:val="3"/>
              </w:numPr>
              <w:spacing w:line="360" w:lineRule="auto"/>
              <w:ind w:left="1275" w:hanging="566"/>
            </w:pPr>
            <w:r>
              <w:t>1-2-3 ritmus párban, hang, láb, kéz bekapcsolással</w:t>
            </w:r>
          </w:p>
          <w:p w:rsidR="0037345D" w:rsidRDefault="0037345D"/>
          <w:p w:rsidR="0037345D" w:rsidRDefault="0037345D"/>
          <w:p w:rsidR="0037345D" w:rsidRDefault="00C1576C">
            <w:pPr>
              <w:rPr>
                <w:b/>
              </w:rPr>
            </w:pPr>
            <w:r>
              <w:rPr>
                <w:b/>
              </w:rPr>
              <w:t>Fogalmak definiálása - 10 perc</w:t>
            </w:r>
          </w:p>
          <w:p w:rsidR="0037345D" w:rsidRDefault="0037345D"/>
          <w:p w:rsidR="0037345D" w:rsidRDefault="0037345D"/>
          <w:p w:rsidR="0037345D" w:rsidRDefault="00C1576C">
            <w:r>
              <w:t xml:space="preserve">A következő egy órában három feladatot fogunk átdolgozni közösen. Először megismerkedünk az emberi jogok fogalmával, főként az embereket illető jogokat, amennyiben elhagyják a saját országukat. </w:t>
            </w:r>
          </w:p>
          <w:p w:rsidR="0037345D" w:rsidRDefault="0037345D"/>
          <w:p w:rsidR="0037345D" w:rsidRDefault="0037345D">
            <w:hyperlink r:id="rId6">
              <w:r w:rsidR="00C1576C">
                <w:rPr>
                  <w:color w:val="0000FF"/>
                  <w:u w:val="single"/>
                </w:rPr>
                <w:t>https://www.ohchr.org/sites/default/files/UDHR/Documents/UDHR_Translations/hng.pdf?fbclid=IwAR2dFMQX43kWVzvWBTSHmWaPukN5vSgJV_rlWtf3hv3gPbKYYPl8saF</w:t>
              </w:r>
              <w:r w:rsidR="00C1576C">
                <w:rPr>
                  <w:color w:val="0000FF"/>
                  <w:u w:val="single"/>
                </w:rPr>
                <w:t>tT1I</w:t>
              </w:r>
            </w:hyperlink>
            <w:r w:rsidR="00C1576C">
              <w:t xml:space="preserve"> </w:t>
            </w:r>
          </w:p>
          <w:p w:rsidR="0037345D" w:rsidRDefault="0037345D"/>
          <w:p w:rsidR="0037345D" w:rsidRDefault="00C1576C">
            <w:r>
              <w:t>A dokumentumot használva betekintést nyerünk az alapvető emberi jogok különböző elemeibe. Ezután a saját szavainkkal megpróbáljuk definiálni, mit jelent számunkra az emberi jog, és éreztük-e már valaha, hogy ezek a jogok meg voltak sértve valaki ált</w:t>
            </w:r>
            <w:r>
              <w:t>al.</w:t>
            </w:r>
          </w:p>
          <w:p w:rsidR="0037345D" w:rsidRDefault="0037345D"/>
          <w:p w:rsidR="0037345D" w:rsidRDefault="0037345D"/>
          <w:p w:rsidR="0037345D" w:rsidRDefault="00C1576C">
            <w:pPr>
              <w:rPr>
                <w:b/>
              </w:rPr>
            </w:pPr>
            <w:r>
              <w:rPr>
                <w:b/>
              </w:rPr>
              <w:t>Szerepjáték - 15/20 perc</w:t>
            </w:r>
          </w:p>
          <w:p w:rsidR="0037345D" w:rsidRDefault="0037345D"/>
          <w:p w:rsidR="0037345D" w:rsidRDefault="00C1576C">
            <w:r>
              <w:t>A masodik feladat egy szerepjáték lesz, amelynek során a résztvevők kapnak egy rovid leirast arrol, kik ok, honnan szarmaynak es milyen emberi tulajdonsagaik vannak. A feladat során megpróbálunk belehelyezkedni a szerepünk é</w:t>
            </w:r>
            <w:r>
              <w:t>lethelyzetébe, és azon keresztül beszélget</w:t>
            </w:r>
            <w:r w:rsidR="005A4CEB">
              <w:t>ni egymással, A feladat alatt három különböző kérdést járunk körü</w:t>
            </w:r>
            <w:r>
              <w:t xml:space="preserve">l </w:t>
            </w:r>
          </w:p>
          <w:p w:rsidR="0037345D" w:rsidRDefault="0037345D">
            <w:pPr>
              <w:ind w:left="720"/>
            </w:pPr>
          </w:p>
          <w:p w:rsidR="0037345D" w:rsidRDefault="0037345D">
            <w:pPr>
              <w:ind w:left="720"/>
            </w:pPr>
          </w:p>
          <w:p w:rsidR="0037345D" w:rsidRDefault="00C1576C">
            <w:pPr>
              <w:numPr>
                <w:ilvl w:val="0"/>
                <w:numId w:val="1"/>
              </w:numPr>
            </w:pPr>
            <w:r>
              <w:t>Számodra mit jelent az igazságosság?</w:t>
            </w:r>
          </w:p>
          <w:p w:rsidR="0037345D" w:rsidRDefault="00C1576C">
            <w:pPr>
              <w:numPr>
                <w:ilvl w:val="0"/>
                <w:numId w:val="1"/>
              </w:numPr>
            </w:pPr>
            <w:r>
              <w:t>Milyen narrat</w:t>
            </w:r>
            <w:r>
              <w:rPr>
                <w:rFonts w:ascii="Arial" w:eastAsia="Arial" w:hAnsi="Arial" w:cs="Arial"/>
                <w:color w:val="333333"/>
                <w:sz w:val="21"/>
                <w:szCs w:val="21"/>
                <w:highlight w:val="white"/>
              </w:rPr>
              <w:t>í</w:t>
            </w:r>
            <w:r>
              <w:t>va el a bevándorlásról ma Magyarországon?</w:t>
            </w:r>
          </w:p>
          <w:p w:rsidR="0037345D" w:rsidRDefault="00C1576C">
            <w:pPr>
              <w:numPr>
                <w:ilvl w:val="0"/>
                <w:numId w:val="1"/>
              </w:numPr>
            </w:pPr>
            <w:r>
              <w:t>Ért valaha igazságtalanság a rendszer részéről? / e</w:t>
            </w:r>
            <w:r>
              <w:t>mbertársaid felől? Ha nem,láttál e már valakit, akit ért ilyen helyzet?</w:t>
            </w:r>
          </w:p>
          <w:p w:rsidR="0037345D" w:rsidRDefault="00C1576C">
            <w:pPr>
              <w:numPr>
                <w:ilvl w:val="0"/>
                <w:numId w:val="1"/>
              </w:numPr>
            </w:pPr>
            <w:r>
              <w:t>Mit tehetsz</w:t>
            </w:r>
            <w:r w:rsidR="004E3C25">
              <w:t>,</w:t>
            </w:r>
            <w:r>
              <w:t xml:space="preserve"> ha az emberi jogaid sérülnek?</w:t>
            </w:r>
          </w:p>
          <w:p w:rsidR="004E3C25" w:rsidRDefault="004E3C25">
            <w:pPr>
              <w:numPr>
                <w:ilvl w:val="0"/>
                <w:numId w:val="1"/>
              </w:numPr>
            </w:pPr>
          </w:p>
          <w:p w:rsidR="004E3C25" w:rsidRDefault="004E3C25" w:rsidP="004E3C25"/>
          <w:p w:rsidR="004E3C25" w:rsidRDefault="004E3C25" w:rsidP="004E3C25"/>
          <w:p w:rsidR="004E3C25" w:rsidRDefault="004E3C25" w:rsidP="004E3C25"/>
          <w:p w:rsidR="0037345D" w:rsidRDefault="0037345D"/>
          <w:p w:rsidR="0037345D" w:rsidRDefault="0037345D">
            <w:pPr>
              <w:pBdr>
                <w:top w:val="nil"/>
                <w:left w:val="nil"/>
                <w:bottom w:val="nil"/>
                <w:right w:val="nil"/>
                <w:between w:val="nil"/>
              </w:pBdr>
              <w:ind w:left="720"/>
              <w:rPr>
                <w:rFonts w:eastAsia="Times New Roman"/>
                <w:color w:val="000000"/>
              </w:rPr>
            </w:pPr>
          </w:p>
          <w:p w:rsidR="0037345D" w:rsidRDefault="00C1576C">
            <w:pPr>
              <w:pBdr>
                <w:top w:val="nil"/>
                <w:left w:val="nil"/>
                <w:bottom w:val="nil"/>
                <w:right w:val="nil"/>
                <w:between w:val="nil"/>
              </w:pBdr>
              <w:rPr>
                <w:b/>
                <w:color w:val="000000"/>
              </w:rPr>
            </w:pPr>
            <w:r>
              <w:rPr>
                <w:b/>
                <w:color w:val="000000"/>
              </w:rPr>
              <w:t>Konklúzió – 20 perc</w:t>
            </w:r>
          </w:p>
          <w:p w:rsidR="0037345D" w:rsidRDefault="0037345D">
            <w:pPr>
              <w:pBdr>
                <w:top w:val="nil"/>
                <w:left w:val="nil"/>
                <w:bottom w:val="nil"/>
                <w:right w:val="nil"/>
                <w:between w:val="nil"/>
              </w:pBdr>
              <w:rPr>
                <w:b/>
              </w:rPr>
            </w:pPr>
          </w:p>
          <w:p w:rsidR="0037345D" w:rsidRDefault="00C1576C">
            <w:pPr>
              <w:widowControl/>
              <w:numPr>
                <w:ilvl w:val="0"/>
                <w:numId w:val="2"/>
              </w:numPr>
              <w:spacing w:line="259" w:lineRule="auto"/>
            </w:pPr>
            <w:r>
              <w:t xml:space="preserve">Beszélgetés - közös ötletelés, hogyan tudunk tudatosabbak lenni az emberi jogokat ért igazságtalanságokkal szembern, hogyan tudunk kiállni egymásért, és  hogyan leszünk megfigyelőből aktív cselekvők. </w:t>
            </w:r>
          </w:p>
          <w:p w:rsidR="0037345D" w:rsidRDefault="0037345D">
            <w:pPr>
              <w:widowControl/>
              <w:spacing w:line="259" w:lineRule="auto"/>
              <w:ind w:left="720"/>
            </w:pPr>
          </w:p>
          <w:p w:rsidR="0037345D" w:rsidRDefault="00C1576C">
            <w:pPr>
              <w:numPr>
                <w:ilvl w:val="0"/>
                <w:numId w:val="2"/>
              </w:numPr>
            </w:pPr>
            <w:r>
              <w:t>Határok lebontása gyakorlat – milyen határok élnek ben</w:t>
            </w:r>
            <w:r>
              <w:t>nünk? Milyen határokat éltetünk magunk körül?Mit tehetünk néhány belső határ lebontásáért?</w:t>
            </w:r>
          </w:p>
          <w:p w:rsidR="0037345D" w:rsidRDefault="0037345D">
            <w:pPr>
              <w:pBdr>
                <w:top w:val="nil"/>
                <w:left w:val="nil"/>
                <w:bottom w:val="nil"/>
                <w:right w:val="nil"/>
                <w:between w:val="nil"/>
              </w:pBdr>
            </w:pPr>
          </w:p>
          <w:p w:rsidR="0037345D" w:rsidRDefault="0037345D"/>
          <w:p w:rsidR="0037345D" w:rsidRDefault="00C1576C">
            <w:pPr>
              <w:rPr>
                <w:b/>
                <w:i/>
              </w:rPr>
            </w:pPr>
            <w:r>
              <w:rPr>
                <w:b/>
                <w:i/>
              </w:rPr>
              <w:t>Cél</w:t>
            </w:r>
          </w:p>
          <w:p w:rsidR="0037345D" w:rsidRDefault="00C1576C">
            <w:pPr>
              <w:numPr>
                <w:ilvl w:val="0"/>
                <w:numId w:val="4"/>
              </w:numPr>
              <w:pBdr>
                <w:top w:val="nil"/>
                <w:left w:val="nil"/>
                <w:bottom w:val="nil"/>
                <w:right w:val="nil"/>
                <w:between w:val="nil"/>
              </w:pBdr>
              <w:rPr>
                <w:rFonts w:eastAsia="Times New Roman"/>
                <w:i/>
                <w:color w:val="000000"/>
              </w:rPr>
            </w:pPr>
            <w:r>
              <w:rPr>
                <w:rFonts w:eastAsia="Times New Roman"/>
                <w:i/>
                <w:color w:val="000000"/>
              </w:rPr>
              <w:t>Megismerés</w:t>
            </w:r>
          </w:p>
          <w:p w:rsidR="0037345D" w:rsidRDefault="00C1576C">
            <w:pPr>
              <w:numPr>
                <w:ilvl w:val="0"/>
                <w:numId w:val="4"/>
              </w:numPr>
              <w:pBdr>
                <w:top w:val="nil"/>
                <w:left w:val="nil"/>
                <w:bottom w:val="nil"/>
                <w:right w:val="nil"/>
                <w:between w:val="nil"/>
              </w:pBdr>
              <w:rPr>
                <w:rFonts w:eastAsia="Times New Roman"/>
                <w:i/>
                <w:color w:val="000000"/>
              </w:rPr>
            </w:pPr>
            <w:r>
              <w:rPr>
                <w:i/>
              </w:rPr>
              <w:t>Elemzés, kritikai gondolkodás</w:t>
            </w:r>
          </w:p>
          <w:p w:rsidR="0037345D" w:rsidRDefault="00C1576C">
            <w:pPr>
              <w:numPr>
                <w:ilvl w:val="0"/>
                <w:numId w:val="4"/>
              </w:numPr>
              <w:pBdr>
                <w:top w:val="nil"/>
                <w:left w:val="nil"/>
                <w:bottom w:val="nil"/>
                <w:right w:val="nil"/>
                <w:between w:val="nil"/>
              </w:pBdr>
              <w:rPr>
                <w:rFonts w:eastAsia="Times New Roman"/>
                <w:i/>
                <w:color w:val="000000"/>
              </w:rPr>
            </w:pPr>
            <w:r>
              <w:rPr>
                <w:rFonts w:eastAsia="Times New Roman"/>
                <w:i/>
                <w:color w:val="000000"/>
              </w:rPr>
              <w:t>Megértés, megkérdőjelezés</w:t>
            </w:r>
          </w:p>
          <w:p w:rsidR="0037345D" w:rsidRDefault="00C1576C">
            <w:pPr>
              <w:numPr>
                <w:ilvl w:val="0"/>
                <w:numId w:val="4"/>
              </w:numPr>
              <w:pBdr>
                <w:top w:val="nil"/>
                <w:left w:val="nil"/>
                <w:bottom w:val="nil"/>
                <w:right w:val="nil"/>
                <w:between w:val="nil"/>
              </w:pBdr>
              <w:rPr>
                <w:rFonts w:eastAsia="Times New Roman"/>
                <w:i/>
                <w:color w:val="000000"/>
              </w:rPr>
            </w:pPr>
            <w:r>
              <w:rPr>
                <w:rFonts w:eastAsia="Times New Roman"/>
                <w:i/>
                <w:color w:val="000000"/>
              </w:rPr>
              <w:t>Megoldáskeresés</w:t>
            </w:r>
          </w:p>
          <w:p w:rsidR="0037345D" w:rsidRDefault="0037345D">
            <w:pPr>
              <w:pBdr>
                <w:top w:val="nil"/>
                <w:left w:val="nil"/>
                <w:bottom w:val="nil"/>
                <w:right w:val="nil"/>
                <w:between w:val="nil"/>
              </w:pBdr>
              <w:rPr>
                <w:i/>
              </w:rPr>
            </w:pPr>
          </w:p>
          <w:p w:rsidR="0037345D" w:rsidRDefault="0037345D"/>
          <w:p w:rsidR="0037345D" w:rsidRDefault="0037345D"/>
          <w:p w:rsidR="0037345D" w:rsidRDefault="0037345D"/>
        </w:tc>
      </w:tr>
      <w:tr w:rsidR="0037345D">
        <w:trPr>
          <w:cantSplit/>
          <w:trHeight w:val="370"/>
          <w:tblHeader/>
        </w:trPr>
        <w:tc>
          <w:tcPr>
            <w:tcW w:w="1985" w:type="dxa"/>
            <w:shd w:val="clear" w:color="auto" w:fill="EAF1DD"/>
          </w:tcPr>
          <w:p w:rsidR="0037345D" w:rsidRDefault="00C1576C">
            <w:pPr>
              <w:rPr>
                <w:b/>
              </w:rPr>
            </w:pPr>
            <w:r>
              <w:rPr>
                <w:b/>
              </w:rPr>
              <w:lastRenderedPageBreak/>
              <w:t>Használható dokuk:</w:t>
            </w:r>
          </w:p>
        </w:tc>
        <w:tc>
          <w:tcPr>
            <w:tcW w:w="7789" w:type="dxa"/>
            <w:gridSpan w:val="4"/>
          </w:tcPr>
          <w:p w:rsidR="0037345D" w:rsidRDefault="0037345D">
            <w:pPr>
              <w:spacing w:before="240"/>
            </w:pPr>
            <w:hyperlink r:id="rId7">
              <w:r w:rsidR="00C1576C">
                <w:rPr>
                  <w:color w:val="0000FF"/>
                  <w:u w:val="single"/>
                </w:rPr>
                <w:t>https://www.amnesty.org/en/what-we-do/refugees-asylum-seekers-and-migrants/</w:t>
              </w:r>
            </w:hyperlink>
          </w:p>
          <w:p w:rsidR="0037345D" w:rsidRDefault="0037345D">
            <w:pPr>
              <w:spacing w:before="240"/>
            </w:pPr>
            <w:hyperlink r:id="rId8">
              <w:r w:rsidR="00C1576C">
                <w:rPr>
                  <w:color w:val="0000FF"/>
                  <w:u w:val="single"/>
                </w:rPr>
                <w:t>https://www.ohchr.org/sites/default/files/UDHR/Documents/UDHR_Translations/hng.pdf?fbclid=IwAR1xwk_J4uK8IJ7LwgGZESL8V4rja48Km_JDBFqanStAmmWZuHB4OKcZH78</w:t>
              </w:r>
            </w:hyperlink>
          </w:p>
          <w:p w:rsidR="0037345D" w:rsidRDefault="0037345D">
            <w:pPr>
              <w:spacing w:before="240"/>
            </w:pPr>
            <w:hyperlink r:id="rId9">
              <w:r w:rsidR="00C1576C">
                <w:rPr>
                  <w:color w:val="1155CC"/>
                  <w:u w:val="single"/>
                </w:rPr>
                <w:t>https://www.origo.hu/jog/20190225-das-jogszerviz-szemelyisegi-jogok-polgari-torvenykonyv-serelemdij.html</w:t>
              </w:r>
            </w:hyperlink>
          </w:p>
          <w:p w:rsidR="0037345D" w:rsidRDefault="0037345D">
            <w:pPr>
              <w:spacing w:before="240"/>
            </w:pPr>
          </w:p>
          <w:p w:rsidR="0037345D" w:rsidRDefault="0037345D">
            <w:pPr>
              <w:widowControl/>
            </w:pPr>
          </w:p>
          <w:p w:rsidR="0037345D" w:rsidRDefault="0037345D">
            <w:pPr>
              <w:widowControl/>
            </w:pPr>
          </w:p>
          <w:p w:rsidR="0037345D" w:rsidRDefault="0037345D">
            <w:pPr>
              <w:widowControl/>
            </w:pPr>
          </w:p>
        </w:tc>
      </w:tr>
    </w:tbl>
    <w:p w:rsidR="0037345D" w:rsidRDefault="0037345D"/>
    <w:sectPr w:rsidR="0037345D" w:rsidSect="0037345D">
      <w:pgSz w:w="11905" w:h="16837"/>
      <w:pgMar w:top="1134" w:right="1134" w:bottom="1134" w:left="1134"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6669"/>
    <w:multiLevelType w:val="multilevel"/>
    <w:tmpl w:val="37B6B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E7F45C8"/>
    <w:multiLevelType w:val="multilevel"/>
    <w:tmpl w:val="8D2A15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43C536F"/>
    <w:multiLevelType w:val="multilevel"/>
    <w:tmpl w:val="419EBAF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nsid w:val="4D9C2F43"/>
    <w:multiLevelType w:val="multilevel"/>
    <w:tmpl w:val="918E930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hyphenationZone w:val="425"/>
  <w:characterSpacingControl w:val="doNotCompress"/>
  <w:compat/>
  <w:rsids>
    <w:rsidRoot w:val="0037345D"/>
    <w:rsid w:val="0037345D"/>
    <w:rsid w:val="004E3C25"/>
    <w:rsid w:val="005A4CEB"/>
    <w:rsid w:val="00C1576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PT" w:eastAsia="hu-H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C02F0"/>
    <w:pPr>
      <w:suppressAutoHyphens/>
    </w:pPr>
    <w:rPr>
      <w:rFonts w:eastAsia="Lucida Sans Unicode"/>
    </w:rPr>
  </w:style>
  <w:style w:type="paragraph" w:styleId="Cmsor1">
    <w:name w:val="heading 1"/>
    <w:basedOn w:val="Norml"/>
    <w:next w:val="Norml"/>
    <w:uiPriority w:val="9"/>
    <w:qFormat/>
    <w:rsid w:val="0037345D"/>
    <w:pPr>
      <w:keepNext/>
      <w:keepLines/>
      <w:spacing w:before="480" w:after="120"/>
      <w:outlineLvl w:val="0"/>
    </w:pPr>
    <w:rPr>
      <w:b/>
      <w:sz w:val="48"/>
      <w:szCs w:val="48"/>
    </w:rPr>
  </w:style>
  <w:style w:type="paragraph" w:styleId="Cmsor2">
    <w:name w:val="heading 2"/>
    <w:basedOn w:val="Norml"/>
    <w:next w:val="Norml"/>
    <w:uiPriority w:val="9"/>
    <w:semiHidden/>
    <w:unhideWhenUsed/>
    <w:qFormat/>
    <w:rsid w:val="0037345D"/>
    <w:pPr>
      <w:keepNext/>
      <w:keepLines/>
      <w:spacing w:before="360" w:after="80"/>
      <w:outlineLvl w:val="1"/>
    </w:pPr>
    <w:rPr>
      <w:b/>
      <w:sz w:val="36"/>
      <w:szCs w:val="36"/>
    </w:rPr>
  </w:style>
  <w:style w:type="paragraph" w:styleId="Cmsor3">
    <w:name w:val="heading 3"/>
    <w:basedOn w:val="Norml"/>
    <w:next w:val="Norml"/>
    <w:uiPriority w:val="9"/>
    <w:semiHidden/>
    <w:unhideWhenUsed/>
    <w:qFormat/>
    <w:rsid w:val="0037345D"/>
    <w:pPr>
      <w:keepNext/>
      <w:keepLines/>
      <w:spacing w:before="280" w:after="80"/>
      <w:outlineLvl w:val="2"/>
    </w:pPr>
    <w:rPr>
      <w:b/>
      <w:sz w:val="28"/>
      <w:szCs w:val="28"/>
    </w:rPr>
  </w:style>
  <w:style w:type="paragraph" w:styleId="Cmsor4">
    <w:name w:val="heading 4"/>
    <w:basedOn w:val="Norml"/>
    <w:next w:val="Norml"/>
    <w:uiPriority w:val="9"/>
    <w:semiHidden/>
    <w:unhideWhenUsed/>
    <w:qFormat/>
    <w:rsid w:val="0037345D"/>
    <w:pPr>
      <w:keepNext/>
      <w:keepLines/>
      <w:spacing w:before="240" w:after="40"/>
      <w:outlineLvl w:val="3"/>
    </w:pPr>
    <w:rPr>
      <w:b/>
    </w:rPr>
  </w:style>
  <w:style w:type="paragraph" w:styleId="Cmsor5">
    <w:name w:val="heading 5"/>
    <w:basedOn w:val="Norml"/>
    <w:next w:val="Norml"/>
    <w:uiPriority w:val="9"/>
    <w:semiHidden/>
    <w:unhideWhenUsed/>
    <w:qFormat/>
    <w:rsid w:val="0037345D"/>
    <w:pPr>
      <w:keepNext/>
      <w:keepLines/>
      <w:spacing w:before="220" w:after="40"/>
      <w:outlineLvl w:val="4"/>
    </w:pPr>
    <w:rPr>
      <w:b/>
      <w:sz w:val="22"/>
      <w:szCs w:val="22"/>
    </w:rPr>
  </w:style>
  <w:style w:type="paragraph" w:styleId="Cmsor6">
    <w:name w:val="heading 6"/>
    <w:basedOn w:val="Norml"/>
    <w:next w:val="Norml"/>
    <w:uiPriority w:val="9"/>
    <w:semiHidden/>
    <w:unhideWhenUsed/>
    <w:qFormat/>
    <w:rsid w:val="0037345D"/>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
    <w:name w:val="normal"/>
    <w:rsid w:val="0037345D"/>
  </w:style>
  <w:style w:type="table" w:customStyle="1" w:styleId="TableNormal">
    <w:name w:val="Table Normal"/>
    <w:rsid w:val="0037345D"/>
    <w:tblPr>
      <w:tblCellMar>
        <w:top w:w="0" w:type="dxa"/>
        <w:left w:w="0" w:type="dxa"/>
        <w:bottom w:w="0" w:type="dxa"/>
        <w:right w:w="0" w:type="dxa"/>
      </w:tblCellMar>
    </w:tblPr>
  </w:style>
  <w:style w:type="paragraph" w:styleId="Cm">
    <w:name w:val="Title"/>
    <w:basedOn w:val="Norml"/>
    <w:next w:val="Norml"/>
    <w:uiPriority w:val="10"/>
    <w:qFormat/>
    <w:rsid w:val="0037345D"/>
    <w:pPr>
      <w:keepNext/>
      <w:keepLines/>
      <w:spacing w:before="480" w:after="120"/>
    </w:pPr>
    <w:rPr>
      <w:b/>
      <w:sz w:val="72"/>
      <w:szCs w:val="72"/>
    </w:rPr>
  </w:style>
  <w:style w:type="paragraph" w:customStyle="1" w:styleId="normal0">
    <w:name w:val="normal"/>
    <w:rsid w:val="0037345D"/>
  </w:style>
  <w:style w:type="table" w:customStyle="1" w:styleId="TableNormal0">
    <w:name w:val="Table Normal"/>
    <w:rsid w:val="0037345D"/>
    <w:tblPr>
      <w:tblCellMar>
        <w:top w:w="0" w:type="dxa"/>
        <w:left w:w="0" w:type="dxa"/>
        <w:bottom w:w="0" w:type="dxa"/>
        <w:right w:w="0" w:type="dxa"/>
      </w:tblCellMar>
    </w:tblPr>
  </w:style>
  <w:style w:type="table" w:customStyle="1" w:styleId="TableNormal1">
    <w:name w:val="Table Normal"/>
    <w:rsid w:val="0037345D"/>
    <w:tblPr>
      <w:tblCellMar>
        <w:top w:w="0" w:type="dxa"/>
        <w:left w:w="0" w:type="dxa"/>
        <w:bottom w:w="0" w:type="dxa"/>
        <w:right w:w="0" w:type="dxa"/>
      </w:tblCellMar>
    </w:tblPr>
  </w:style>
  <w:style w:type="paragraph" w:styleId="NormlWeb">
    <w:name w:val="Normal (Web)"/>
    <w:basedOn w:val="Norml"/>
    <w:uiPriority w:val="99"/>
    <w:unhideWhenUsed/>
    <w:rsid w:val="00EC02F0"/>
    <w:pPr>
      <w:widowControl/>
      <w:suppressAutoHyphens w:val="0"/>
      <w:spacing w:before="100" w:beforeAutospacing="1" w:after="100" w:afterAutospacing="1"/>
    </w:pPr>
    <w:rPr>
      <w:rFonts w:eastAsia="Times New Roman"/>
      <w:color w:val="EEEEEE"/>
      <w:lang w:val="en-US"/>
    </w:rPr>
  </w:style>
  <w:style w:type="paragraph" w:styleId="Listaszerbekezds">
    <w:name w:val="List Paragraph"/>
    <w:basedOn w:val="Norml"/>
    <w:uiPriority w:val="34"/>
    <w:qFormat/>
    <w:rsid w:val="00BE19E7"/>
    <w:pPr>
      <w:ind w:left="720"/>
      <w:contextualSpacing/>
    </w:pPr>
  </w:style>
  <w:style w:type="character" w:styleId="Hiperhivatkozs">
    <w:name w:val="Hyperlink"/>
    <w:basedOn w:val="Bekezdsalapbettpusa"/>
    <w:uiPriority w:val="99"/>
    <w:unhideWhenUsed/>
    <w:rsid w:val="004900C8"/>
    <w:rPr>
      <w:color w:val="0000FF" w:themeColor="hyperlink"/>
      <w:u w:val="single"/>
    </w:rPr>
  </w:style>
  <w:style w:type="character" w:styleId="Mrltotthiperhivatkozs">
    <w:name w:val="FollowedHyperlink"/>
    <w:basedOn w:val="Bekezdsalapbettpusa"/>
    <w:uiPriority w:val="99"/>
    <w:semiHidden/>
    <w:unhideWhenUsed/>
    <w:rsid w:val="004900C8"/>
    <w:rPr>
      <w:color w:val="800080" w:themeColor="followedHyperlink"/>
      <w:u w:val="single"/>
    </w:rPr>
  </w:style>
  <w:style w:type="paragraph" w:styleId="Alcm">
    <w:name w:val="Subtitle"/>
    <w:basedOn w:val="normal0"/>
    <w:next w:val="normal0"/>
    <w:rsid w:val="0037345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37345D"/>
    <w:tblPr>
      <w:tblStyleRowBandSize w:val="1"/>
      <w:tblStyleColBandSize w:val="1"/>
      <w:tblCellMar>
        <w:top w:w="55" w:type="dxa"/>
        <w:left w:w="55" w:type="dxa"/>
        <w:bottom w:w="55" w:type="dxa"/>
        <w:right w:w="55" w:type="dxa"/>
      </w:tblCellMar>
    </w:tblPr>
  </w:style>
  <w:style w:type="character" w:customStyle="1" w:styleId="UnresolvedMention">
    <w:name w:val="Unresolved Mention"/>
    <w:basedOn w:val="Bekezdsalapbettpusa"/>
    <w:uiPriority w:val="99"/>
    <w:semiHidden/>
    <w:unhideWhenUsed/>
    <w:rsid w:val="009A6B63"/>
    <w:rPr>
      <w:color w:val="605E5C"/>
      <w:shd w:val="clear" w:color="auto" w:fill="E1DFDD"/>
    </w:rPr>
  </w:style>
  <w:style w:type="table" w:customStyle="1" w:styleId="a0">
    <w:basedOn w:val="TableNormal1"/>
    <w:rsid w:val="0037345D"/>
    <w:tblPr>
      <w:tblStyleRowBandSize w:val="1"/>
      <w:tblStyleColBandSize w:val="1"/>
      <w:tblCellMar>
        <w:top w:w="55" w:type="dxa"/>
        <w:left w:w="55" w:type="dxa"/>
        <w:bottom w:w="55" w:type="dxa"/>
        <w:right w:w="55" w:type="dxa"/>
      </w:tblCellMar>
    </w:tblPr>
  </w:style>
  <w:style w:type="table" w:customStyle="1" w:styleId="a1">
    <w:basedOn w:val="TableNormal1"/>
    <w:rsid w:val="0037345D"/>
    <w:tblPr>
      <w:tblStyleRowBandSize w:val="1"/>
      <w:tblStyleColBandSize w:val="1"/>
      <w:tblCellMar>
        <w:top w:w="55" w:type="dxa"/>
        <w:left w:w="55" w:type="dxa"/>
        <w:bottom w:w="55" w:type="dxa"/>
        <w:right w:w="55" w:type="dxa"/>
      </w:tblCellMar>
    </w:tblPr>
  </w:style>
</w:styles>
</file>

<file path=word/webSettings.xml><?xml version="1.0" encoding="utf-8"?>
<w:webSettings xmlns:r="http://schemas.openxmlformats.org/officeDocument/2006/relationships" xmlns:w="http://schemas.openxmlformats.org/wordprocessingml/2006/main">
  <w:divs>
    <w:div w:id="599487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ites/default/files/UDHR/Documents/UDHR_Translations/hng.pdf?fbclid=IwAR1xwk_J4uK8IJ7LwgGZESL8V4rja48Km_JDBFqanStAmmWZuHB4OKcZH78" TargetMode="External"/><Relationship Id="rId3" Type="http://schemas.openxmlformats.org/officeDocument/2006/relationships/styles" Target="styles.xml"/><Relationship Id="rId7" Type="http://schemas.openxmlformats.org/officeDocument/2006/relationships/hyperlink" Target="https://www.amnesty.org/en/what-we-do/refugees-asylum-seekers-and-mi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hchr.org/sites/default/files/UDHR/Documents/UDHR_Translations/hng.pdf?fbclid=IwAR2dFMQX43kWVzvWBTSHmWaPukN5vSgJV_rlWtf3hv3gPbKYYPl8saFtT1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igo.hu/jog/20190225-das-jogszerviz-szemelyisegi-jogok-polgari-torvenykonyv-serelemdi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H6uUx3cGrlU9lfpkLBGyd51a6A==">AMUW2mWhcjwLjYMWJQU17jZ69n5SKLmi1LuwNelmtL5xW4I4zbkVhHl3quIcz+3QQFtG/v+npXVw7qFjjCWmRG2e7ASg4YETwXWkRCFzMNcgPG0vYVAebl6RcOAPQHKQiNlvim7swqCYaBRFSIresnbBhBejPjs0vvYA1Jcl6gFbwhm+1cefXAs=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975</Words>
  <Characters>6731</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Ponton</dc:creator>
  <cp:lastModifiedBy>Györgyi</cp:lastModifiedBy>
  <cp:revision>4</cp:revision>
  <dcterms:created xsi:type="dcterms:W3CDTF">2022-11-18T11:47:00Z</dcterms:created>
  <dcterms:modified xsi:type="dcterms:W3CDTF">2022-12-04T05:30:00Z</dcterms:modified>
</cp:coreProperties>
</file>